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8DC3" w14:textId="77777777" w:rsidR="00281F67" w:rsidRDefault="00281F67">
      <w:pPr>
        <w:pStyle w:val="Title"/>
        <w:shd w:val="clear" w:color="auto" w:fill="C0C0C0"/>
      </w:pPr>
      <w:r>
        <w:t>Problem/Issue Identification and Description</w:t>
      </w:r>
    </w:p>
    <w:p w14:paraId="781F3FD6" w14:textId="77777777" w:rsidR="00281F67" w:rsidRDefault="00281F67">
      <w:pPr>
        <w:rPr>
          <w:sz w:val="24"/>
        </w:rPr>
      </w:pPr>
    </w:p>
    <w:p w14:paraId="61E0F851" w14:textId="77777777" w:rsidR="00281F67" w:rsidRDefault="00281F67">
      <w:pPr>
        <w:rPr>
          <w:sz w:val="24"/>
        </w:rPr>
      </w:pPr>
    </w:p>
    <w:p w14:paraId="0EA313C5" w14:textId="5AE48614"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(mm/dd/</w:t>
      </w:r>
      <w:proofErr w:type="spellStart"/>
      <w:r>
        <w:rPr>
          <w:sz w:val="24"/>
        </w:rPr>
        <w:t>yyyy</w:t>
      </w:r>
      <w:proofErr w:type="spellEnd"/>
      <w:r>
        <w:rPr>
          <w:sz w:val="24"/>
        </w:rPr>
        <w:t>):</w:t>
      </w:r>
      <w:r w:rsidR="001E3101">
        <w:rPr>
          <w:sz w:val="24"/>
        </w:rPr>
        <w:t xml:space="preserve"> </w:t>
      </w:r>
      <w:r w:rsidR="001E3101" w:rsidRPr="00E70A71">
        <w:rPr>
          <w:sz w:val="24"/>
        </w:rPr>
        <w:t>06/29/2022</w:t>
      </w:r>
      <w:r w:rsidR="005C7BEB">
        <w:rPr>
          <w:sz w:val="24"/>
        </w:rPr>
        <w:t xml:space="preserve"> </w:t>
      </w:r>
      <w:r w:rsidR="002A6F04">
        <w:rPr>
          <w:sz w:val="24"/>
        </w:rPr>
        <w:tab/>
      </w:r>
      <w:r w:rsidR="002A6F04">
        <w:rPr>
          <w:sz w:val="24"/>
        </w:rPr>
        <w:tab/>
      </w:r>
      <w:r w:rsidR="002A6F04">
        <w:rPr>
          <w:sz w:val="24"/>
        </w:rPr>
        <w:tab/>
      </w:r>
      <w:r w:rsidR="002A6F04">
        <w:rPr>
          <w:sz w:val="24"/>
        </w:rPr>
        <w:tab/>
      </w:r>
      <w:r w:rsidR="002A6F04" w:rsidRPr="002A6F04">
        <w:rPr>
          <w:b/>
          <w:sz w:val="24"/>
        </w:rPr>
        <w:t>PIM #</w:t>
      </w:r>
      <w:r w:rsidR="00D01336">
        <w:rPr>
          <w:b/>
          <w:sz w:val="24"/>
        </w:rPr>
        <w:t>147</w:t>
      </w:r>
      <w:r w:rsidR="003B2E71">
        <w:rPr>
          <w:b/>
          <w:sz w:val="24"/>
        </w:rPr>
        <w:t xml:space="preserve"> v3</w:t>
      </w:r>
    </w:p>
    <w:p w14:paraId="213A25F7" w14:textId="40372837"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1E3101">
        <w:rPr>
          <w:sz w:val="24"/>
        </w:rPr>
        <w:t>NANPA</w:t>
      </w:r>
      <w:r w:rsidR="008400C1">
        <w:rPr>
          <w:sz w:val="24"/>
        </w:rPr>
        <w:t xml:space="preserve"> (</w:t>
      </w:r>
      <w:proofErr w:type="spellStart"/>
      <w:r w:rsidR="008400C1">
        <w:rPr>
          <w:sz w:val="24"/>
        </w:rPr>
        <w:t>Somos</w:t>
      </w:r>
      <w:proofErr w:type="spellEnd"/>
      <w:r w:rsidR="008400C1">
        <w:rPr>
          <w:sz w:val="24"/>
        </w:rPr>
        <w:t>)</w:t>
      </w:r>
    </w:p>
    <w:p w14:paraId="4ECF2D73" w14:textId="53D11F67"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r w:rsidR="002A6F04">
        <w:rPr>
          <w:sz w:val="24"/>
        </w:rPr>
        <w:t>:</w:t>
      </w:r>
      <w:r w:rsidR="005C7BEB">
        <w:rPr>
          <w:sz w:val="24"/>
        </w:rPr>
        <w:t xml:space="preserve"> </w:t>
      </w:r>
      <w:r w:rsidR="001E3101">
        <w:rPr>
          <w:sz w:val="24"/>
        </w:rPr>
        <w:t xml:space="preserve">Florence Weber </w:t>
      </w:r>
    </w:p>
    <w:p w14:paraId="7D0F81DF" w14:textId="6DED1B60"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r w:rsidR="005C7BEB">
        <w:rPr>
          <w:sz w:val="24"/>
        </w:rPr>
        <w:t xml:space="preserve">: </w:t>
      </w:r>
      <w:r w:rsidR="001E3101">
        <w:rPr>
          <w:sz w:val="24"/>
        </w:rPr>
        <w:t>925-420-0340</w:t>
      </w:r>
    </w:p>
    <w:p w14:paraId="56F633D5" w14:textId="66D34267" w:rsidR="005A61A9" w:rsidRPr="00CE2D06" w:rsidRDefault="005A61A9" w:rsidP="005A61A9">
      <w:pPr>
        <w:pBdr>
          <w:top w:val="single" w:sz="4" w:space="1" w:color="auto"/>
          <w:left w:val="single" w:sz="4" w:space="4" w:color="auto"/>
          <w:bottom w:val="single" w:sz="4" w:space="1" w:color="auto"/>
          <w:right w:val="single" w:sz="4" w:space="4" w:color="auto"/>
        </w:pBdr>
        <w:rPr>
          <w:sz w:val="24"/>
          <w:u w:val="single"/>
        </w:rPr>
      </w:pPr>
      <w:r>
        <w:rPr>
          <w:b/>
          <w:sz w:val="24"/>
        </w:rPr>
        <w:t>Email Address</w:t>
      </w:r>
      <w:r w:rsidR="005C7BEB">
        <w:rPr>
          <w:b/>
          <w:sz w:val="24"/>
        </w:rPr>
        <w:t>:</w:t>
      </w:r>
      <w:r w:rsidR="001E3101">
        <w:rPr>
          <w:b/>
          <w:sz w:val="24"/>
        </w:rPr>
        <w:t xml:space="preserve"> </w:t>
      </w:r>
      <w:hyperlink r:id="rId7" w:history="1">
        <w:r w:rsidR="001E3101" w:rsidRPr="004F22A0">
          <w:rPr>
            <w:rStyle w:val="Hyperlink"/>
            <w:b/>
            <w:sz w:val="24"/>
          </w:rPr>
          <w:t>fweber@nanpa.com</w:t>
        </w:r>
      </w:hyperlink>
      <w:r w:rsidR="001E3101">
        <w:rPr>
          <w:b/>
          <w:sz w:val="24"/>
        </w:rPr>
        <w:t xml:space="preserve"> </w:t>
      </w:r>
      <w:r w:rsidR="005C7BEB">
        <w:rPr>
          <w:b/>
          <w:sz w:val="24"/>
        </w:rPr>
        <w:t xml:space="preserve"> </w:t>
      </w:r>
      <w:r>
        <w:rPr>
          <w:sz w:val="24"/>
        </w:rPr>
        <w:t xml:space="preserve">   </w:t>
      </w:r>
    </w:p>
    <w:p w14:paraId="3E2F5AE8"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39BF38AB" w14:textId="77777777" w:rsidR="00281F67" w:rsidRDefault="00281F67">
      <w:pPr>
        <w:rPr>
          <w:sz w:val="24"/>
          <w:u w:val="single"/>
        </w:rPr>
      </w:pPr>
    </w:p>
    <w:p w14:paraId="77EDCF69"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793AE06F" w14:textId="77777777" w:rsidR="00A04B52" w:rsidRPr="005511C4" w:rsidRDefault="00A04B52" w:rsidP="00A04B52">
      <w:pPr>
        <w:ind w:left="360"/>
      </w:pPr>
    </w:p>
    <w:p w14:paraId="62C0F4BD" w14:textId="77777777" w:rsidR="005B655C" w:rsidRDefault="005B655C" w:rsidP="000B54AE">
      <w:pPr>
        <w:pStyle w:val="BodyText2"/>
        <w:pBdr>
          <w:left w:val="single" w:sz="4" w:space="0" w:color="auto"/>
        </w:pBdr>
        <w:rPr>
          <w:sz w:val="20"/>
        </w:rPr>
      </w:pPr>
    </w:p>
    <w:p w14:paraId="721D3E16" w14:textId="77777777" w:rsidR="00464426" w:rsidRDefault="008400C1" w:rsidP="00BC2499">
      <w:pPr>
        <w:pStyle w:val="BodyText2"/>
        <w:pBdr>
          <w:left w:val="single" w:sz="4" w:space="0" w:color="auto"/>
        </w:pBdr>
        <w:rPr>
          <w:sz w:val="20"/>
        </w:rPr>
      </w:pPr>
      <w:r>
        <w:rPr>
          <w:sz w:val="20"/>
        </w:rPr>
        <w:t>NANPA is in the process of developing a new system that will combine the functionality provided today in the existing NANP Administration System (NAS)</w:t>
      </w:r>
      <w:r w:rsidR="007A3026">
        <w:rPr>
          <w:sz w:val="20"/>
        </w:rPr>
        <w:t xml:space="preserve">, </w:t>
      </w:r>
      <w:r>
        <w:rPr>
          <w:sz w:val="20"/>
        </w:rPr>
        <w:t xml:space="preserve">Pooling Administration System (PAS) </w:t>
      </w:r>
      <w:r w:rsidR="007A3026">
        <w:rPr>
          <w:sz w:val="20"/>
        </w:rPr>
        <w:t xml:space="preserve">and Routing Number Administration System (RNAS) </w:t>
      </w:r>
      <w:r w:rsidR="008A2B11">
        <w:rPr>
          <w:sz w:val="20"/>
        </w:rPr>
        <w:t>into</w:t>
      </w:r>
      <w:r>
        <w:rPr>
          <w:sz w:val="20"/>
        </w:rPr>
        <w:t xml:space="preserve"> a single system</w:t>
      </w:r>
      <w:r w:rsidR="007A3026">
        <w:rPr>
          <w:sz w:val="20"/>
        </w:rPr>
        <w:t xml:space="preserve"> a</w:t>
      </w:r>
      <w:r w:rsidR="007A3026" w:rsidRPr="007A3026">
        <w:rPr>
          <w:sz w:val="20"/>
        </w:rPr>
        <w:t xml:space="preserve">s required per Section 1.5 of the Combined NANPA/PA Technical Requirements </w:t>
      </w:r>
      <w:r w:rsidR="007A3026" w:rsidRPr="00AC4B25">
        <w:rPr>
          <w:sz w:val="20"/>
        </w:rPr>
        <w:t>Document</w:t>
      </w:r>
      <w:r w:rsidR="00655DBB" w:rsidRPr="00AC4B25">
        <w:rPr>
          <w:sz w:val="20"/>
        </w:rPr>
        <w:t xml:space="preserve"> (“TRD”)</w:t>
      </w:r>
      <w:r w:rsidR="00F40DEE">
        <w:rPr>
          <w:sz w:val="20"/>
        </w:rPr>
        <w:t xml:space="preserve"> </w:t>
      </w:r>
      <w:r w:rsidR="006E63B6">
        <w:rPr>
          <w:sz w:val="20"/>
        </w:rPr>
        <w:t>which</w:t>
      </w:r>
      <w:r w:rsidR="00F40DEE">
        <w:rPr>
          <w:sz w:val="20"/>
        </w:rPr>
        <w:t xml:space="preserve"> states</w:t>
      </w:r>
      <w:r w:rsidR="006E63B6">
        <w:rPr>
          <w:sz w:val="20"/>
        </w:rPr>
        <w:t xml:space="preserve"> </w:t>
      </w:r>
      <w:r w:rsidR="00502F7C">
        <w:rPr>
          <w:sz w:val="20"/>
        </w:rPr>
        <w:t xml:space="preserve">one of </w:t>
      </w:r>
      <w:r w:rsidR="006E63B6">
        <w:rPr>
          <w:sz w:val="20"/>
        </w:rPr>
        <w:t>the main objecti</w:t>
      </w:r>
      <w:r w:rsidR="00E625B8">
        <w:rPr>
          <w:sz w:val="20"/>
        </w:rPr>
        <w:t>ve</w:t>
      </w:r>
      <w:r w:rsidR="00502F7C">
        <w:rPr>
          <w:sz w:val="20"/>
        </w:rPr>
        <w:t>s</w:t>
      </w:r>
      <w:r w:rsidR="006E63B6">
        <w:rPr>
          <w:sz w:val="20"/>
        </w:rPr>
        <w:t xml:space="preserve"> of </w:t>
      </w:r>
      <w:r w:rsidR="00502F7C">
        <w:rPr>
          <w:sz w:val="20"/>
        </w:rPr>
        <w:t xml:space="preserve">the </w:t>
      </w:r>
      <w:r w:rsidR="006E63B6">
        <w:rPr>
          <w:sz w:val="20"/>
        </w:rPr>
        <w:t>NANPA is to</w:t>
      </w:r>
      <w:r w:rsidR="00F40DEE">
        <w:rPr>
          <w:sz w:val="20"/>
        </w:rPr>
        <w:t xml:space="preserve"> </w:t>
      </w:r>
      <w:r w:rsidR="00F40DEE" w:rsidRPr="005E6879">
        <w:rPr>
          <w:i/>
          <w:iCs/>
          <w:sz w:val="20"/>
        </w:rPr>
        <w:t>“Develop and implement a single system to facilitate all activities of the NANPA/PA and the assignment, tracking, and data reporting requirements for all Numbering Resources”</w:t>
      </w:r>
      <w:r w:rsidR="00D25AB5">
        <w:rPr>
          <w:sz w:val="20"/>
        </w:rPr>
        <w:t xml:space="preserve">. </w:t>
      </w:r>
    </w:p>
    <w:p w14:paraId="371C5194" w14:textId="77777777" w:rsidR="00670246" w:rsidRDefault="00670246" w:rsidP="00BC2499">
      <w:pPr>
        <w:pStyle w:val="BodyText2"/>
        <w:pBdr>
          <w:left w:val="single" w:sz="4" w:space="0" w:color="auto"/>
        </w:pBdr>
        <w:rPr>
          <w:sz w:val="20"/>
        </w:rPr>
      </w:pPr>
    </w:p>
    <w:p w14:paraId="4D73B4F1" w14:textId="1C4FC39B" w:rsidR="00464426" w:rsidRDefault="00670246" w:rsidP="00BC2499">
      <w:pPr>
        <w:pStyle w:val="BodyText2"/>
        <w:pBdr>
          <w:left w:val="single" w:sz="4" w:space="0" w:color="auto"/>
        </w:pBdr>
        <w:rPr>
          <w:sz w:val="20"/>
        </w:rPr>
      </w:pPr>
      <w:r w:rsidRPr="00442ADD">
        <w:rPr>
          <w:sz w:val="20"/>
        </w:rPr>
        <w:t xml:space="preserve">Below are </w:t>
      </w:r>
      <w:r w:rsidR="00484D3E">
        <w:rPr>
          <w:sz w:val="20"/>
        </w:rPr>
        <w:t xml:space="preserve">the </w:t>
      </w:r>
      <w:r w:rsidRPr="00442ADD">
        <w:rPr>
          <w:sz w:val="20"/>
        </w:rPr>
        <w:t>relevant sections</w:t>
      </w:r>
      <w:r w:rsidR="006F623B">
        <w:rPr>
          <w:sz w:val="20"/>
        </w:rPr>
        <w:t xml:space="preserve"> of </w:t>
      </w:r>
      <w:r w:rsidR="006374AD">
        <w:rPr>
          <w:sz w:val="20"/>
        </w:rPr>
        <w:t>the TRD</w:t>
      </w:r>
      <w:r w:rsidR="006F623B">
        <w:rPr>
          <w:sz w:val="20"/>
        </w:rPr>
        <w:t xml:space="preserve"> </w:t>
      </w:r>
      <w:r>
        <w:rPr>
          <w:sz w:val="20"/>
        </w:rPr>
        <w:t xml:space="preserve">on how </w:t>
      </w:r>
      <w:r w:rsidR="00484D3E">
        <w:rPr>
          <w:sz w:val="20"/>
        </w:rPr>
        <w:t xml:space="preserve">the </w:t>
      </w:r>
      <w:r>
        <w:rPr>
          <w:sz w:val="20"/>
        </w:rPr>
        <w:t>NANPA/PA will interface with the NPAC:</w:t>
      </w:r>
    </w:p>
    <w:p w14:paraId="03F5089E" w14:textId="6A5845A6" w:rsidR="00484D3E" w:rsidRDefault="00484D3E" w:rsidP="00BC2499">
      <w:pPr>
        <w:pStyle w:val="BodyText2"/>
        <w:pBdr>
          <w:left w:val="single" w:sz="4" w:space="0" w:color="auto"/>
        </w:pBdr>
        <w:rPr>
          <w:sz w:val="20"/>
        </w:rPr>
      </w:pPr>
    </w:p>
    <w:p w14:paraId="65A42F41" w14:textId="66B5C0B4" w:rsidR="00484D3E" w:rsidRPr="00484D3E" w:rsidRDefault="00484D3E" w:rsidP="00BC2499">
      <w:pPr>
        <w:pStyle w:val="BodyText2"/>
        <w:pBdr>
          <w:left w:val="single" w:sz="4" w:space="0" w:color="auto"/>
        </w:pBdr>
        <w:rPr>
          <w:sz w:val="20"/>
          <w:highlight w:val="yellow"/>
        </w:rPr>
      </w:pPr>
      <w:proofErr w:type="gramStart"/>
      <w:r w:rsidRPr="00484D3E">
        <w:rPr>
          <w:i/>
          <w:iCs/>
          <w:sz w:val="20"/>
        </w:rPr>
        <w:t>2.6  Telecommunications</w:t>
      </w:r>
      <w:proofErr w:type="gramEnd"/>
      <w:r w:rsidRPr="00484D3E">
        <w:rPr>
          <w:i/>
          <w:iCs/>
          <w:sz w:val="20"/>
        </w:rPr>
        <w:t xml:space="preserve"> Requirements</w:t>
      </w:r>
      <w:r w:rsidRPr="00484D3E">
        <w:rPr>
          <w:i/>
          <w:iCs/>
          <w:sz w:val="20"/>
        </w:rPr>
        <w:br/>
      </w:r>
      <w:r w:rsidR="006F623B" w:rsidRPr="005E6879">
        <w:rPr>
          <w:i/>
          <w:iCs/>
          <w:sz w:val="20"/>
        </w:rPr>
        <w:t>“</w:t>
      </w:r>
      <w:r w:rsidR="006374AD" w:rsidRPr="005E6879">
        <w:rPr>
          <w:i/>
          <w:iCs/>
          <w:sz w:val="20"/>
        </w:rPr>
        <w:t>The NANPA/PA shall maintain a direct and mechanized interface to the Number Portability Administration Center (NPAC) to transmit and access data that the NANPA/PA needs to perform its responsibilities.  The data shall be obtained from the NPAC administrator per the details defined by the North American Portability Management, Limited Liability Corporation (NAPM LLC) that oversees the vendor of the local number portability systems and administration or as otherwise provided by FCC requirements.</w:t>
      </w:r>
      <w:r w:rsidR="006F623B" w:rsidRPr="005E6879">
        <w:rPr>
          <w:i/>
          <w:iCs/>
          <w:sz w:val="20"/>
        </w:rPr>
        <w:t>”</w:t>
      </w:r>
      <w:r w:rsidR="006F623B">
        <w:rPr>
          <w:sz w:val="20"/>
        </w:rPr>
        <w:t xml:space="preserve">. </w:t>
      </w:r>
    </w:p>
    <w:p w14:paraId="06212928" w14:textId="77777777" w:rsidR="00670246" w:rsidRDefault="00670246" w:rsidP="00BC2499">
      <w:pPr>
        <w:pStyle w:val="BodyText2"/>
        <w:pBdr>
          <w:left w:val="single" w:sz="4" w:space="0" w:color="auto"/>
        </w:pBdr>
        <w:rPr>
          <w:sz w:val="20"/>
        </w:rPr>
      </w:pPr>
    </w:p>
    <w:p w14:paraId="71193B54" w14:textId="77777777" w:rsidR="00EF7C65" w:rsidRDefault="00EF7C65" w:rsidP="00BC2499">
      <w:pPr>
        <w:pStyle w:val="BodyText2"/>
        <w:pBdr>
          <w:left w:val="single" w:sz="4" w:space="0" w:color="auto"/>
        </w:pBdr>
        <w:rPr>
          <w:i/>
          <w:iCs/>
          <w:sz w:val="20"/>
        </w:rPr>
      </w:pPr>
    </w:p>
    <w:p w14:paraId="50B48D45" w14:textId="2CF94001" w:rsidR="00464426" w:rsidRPr="00464426" w:rsidRDefault="00464426" w:rsidP="00BC2499">
      <w:pPr>
        <w:pStyle w:val="BodyText2"/>
        <w:pBdr>
          <w:left w:val="single" w:sz="4" w:space="0" w:color="auto"/>
        </w:pBdr>
        <w:rPr>
          <w:i/>
          <w:iCs/>
          <w:sz w:val="20"/>
        </w:rPr>
      </w:pPr>
      <w:proofErr w:type="gramStart"/>
      <w:r w:rsidRPr="00464426">
        <w:rPr>
          <w:i/>
          <w:iCs/>
          <w:sz w:val="20"/>
        </w:rPr>
        <w:t>2.14.3  Interface</w:t>
      </w:r>
      <w:proofErr w:type="gramEnd"/>
      <w:r w:rsidRPr="00464426">
        <w:rPr>
          <w:i/>
          <w:iCs/>
          <w:sz w:val="20"/>
        </w:rPr>
        <w:t xml:space="preserve"> with the Number Portability Administration Center (NPAC)</w:t>
      </w:r>
    </w:p>
    <w:p w14:paraId="399C651C" w14:textId="77777777" w:rsidR="00464426" w:rsidRPr="00464426" w:rsidRDefault="00464426" w:rsidP="00BC2499">
      <w:pPr>
        <w:pStyle w:val="BodyText2"/>
        <w:pBdr>
          <w:left w:val="single" w:sz="4" w:space="0" w:color="auto"/>
        </w:pBdr>
        <w:rPr>
          <w:i/>
          <w:iCs/>
          <w:sz w:val="20"/>
        </w:rPr>
      </w:pPr>
      <w:r w:rsidRPr="00464426">
        <w:rPr>
          <w:i/>
          <w:iCs/>
          <w:sz w:val="20"/>
        </w:rPr>
        <w:t>The NANPA/PA shall maintain an NPAC vendor e-mail and mechanized interface (or any other interface which the NANPA/PA and NPAC Vendor shall agree upon and obtain approval on from the FCC).  The mechanized interface shall be used to notify the NPAC vendor about thousands-blocks that are being assigned or disconnected, and to receive acknowledgement from the NPAC vendor that the thousands-block assignment/disconnect information has been received.  It shall also be used to receive notification from the NPAC vendor that the NPAC vendor has broadcast the thousands-block assignment or disconnect data.</w:t>
      </w:r>
    </w:p>
    <w:p w14:paraId="3FDFC33B" w14:textId="77777777" w:rsidR="00464426" w:rsidRPr="00464426" w:rsidRDefault="00464426" w:rsidP="00BC2499">
      <w:pPr>
        <w:pStyle w:val="BodyText2"/>
        <w:pBdr>
          <w:left w:val="single" w:sz="4" w:space="0" w:color="auto"/>
        </w:pBdr>
        <w:rPr>
          <w:i/>
          <w:iCs/>
          <w:sz w:val="20"/>
        </w:rPr>
      </w:pPr>
    </w:p>
    <w:p w14:paraId="06518308" w14:textId="77777777" w:rsidR="00464426" w:rsidRPr="00464426" w:rsidRDefault="00464426" w:rsidP="00BC2499">
      <w:pPr>
        <w:pStyle w:val="BodyText2"/>
        <w:pBdr>
          <w:left w:val="single" w:sz="4" w:space="0" w:color="auto"/>
        </w:pBdr>
        <w:rPr>
          <w:i/>
          <w:iCs/>
          <w:sz w:val="20"/>
        </w:rPr>
      </w:pPr>
      <w:r w:rsidRPr="00464426">
        <w:rPr>
          <w:i/>
          <w:iCs/>
          <w:sz w:val="20"/>
        </w:rPr>
        <w:t>The interface with the NPAC vendor also shall be used to request information from the NPAC about central office codes (also referred to as NXXs) and thousands-blocks that are about to be reclaimed by NANPA/PA to ensure that there are no ported Telephone Numbers (TNs) contained within the NXX or thousands-block targeted for reclamation.  If the NANPA/PA finds that there are ported TNs within the targeted NXX or the thousands-block is more than 10% contaminated, the NANPA/PA shall refer to the appropriate guidelines for alternative reclamation processing steps (e.g., solicit a new code holder from those service providers with ported TNs within the targeted NXX or solicit a new block holder from those service providers with ported TNs within the targeted thousands-block).</w:t>
      </w:r>
    </w:p>
    <w:p w14:paraId="001C8029" w14:textId="77777777" w:rsidR="00464426" w:rsidRPr="00464426" w:rsidRDefault="00464426" w:rsidP="00BC2499">
      <w:pPr>
        <w:pStyle w:val="BodyText2"/>
        <w:pBdr>
          <w:left w:val="single" w:sz="4" w:space="0" w:color="auto"/>
        </w:pBdr>
        <w:rPr>
          <w:i/>
          <w:iCs/>
          <w:sz w:val="20"/>
        </w:rPr>
      </w:pPr>
    </w:p>
    <w:p w14:paraId="606D457D" w14:textId="77777777" w:rsidR="00464426" w:rsidRPr="00464426" w:rsidRDefault="00464426" w:rsidP="00BC2499">
      <w:pPr>
        <w:pStyle w:val="BodyText2"/>
        <w:pBdr>
          <w:left w:val="single" w:sz="4" w:space="0" w:color="auto"/>
        </w:pBdr>
        <w:rPr>
          <w:i/>
          <w:iCs/>
          <w:sz w:val="20"/>
        </w:rPr>
      </w:pPr>
      <w:r w:rsidRPr="00464426">
        <w:rPr>
          <w:i/>
          <w:iCs/>
          <w:sz w:val="20"/>
        </w:rPr>
        <w:t xml:space="preserve">The following list identifies each of the seven (7) NPAC regions and the (including the District of Columbia) and U.S. territories that are associated with each NPAC region in the United States.  The North American Portability Management LLC (NAPM LLC) manages the contractual relationship with the NPAC </w:t>
      </w:r>
      <w:r w:rsidRPr="00464426">
        <w:rPr>
          <w:i/>
          <w:iCs/>
          <w:sz w:val="20"/>
        </w:rPr>
        <w:lastRenderedPageBreak/>
        <w:t>vendor, and the NANPA/PA shall contact the NAPM LLC to coordinate interfaces with the NPAC for the purposes of central office code and pooling administration.</w:t>
      </w:r>
    </w:p>
    <w:p w14:paraId="5B0FA6C6" w14:textId="77777777" w:rsidR="00464426" w:rsidRPr="00464426" w:rsidRDefault="00464426" w:rsidP="00BC2499">
      <w:pPr>
        <w:pStyle w:val="BodyText2"/>
        <w:pBdr>
          <w:left w:val="single" w:sz="4" w:space="0" w:color="auto"/>
        </w:pBdr>
        <w:rPr>
          <w:i/>
          <w:iCs/>
          <w:sz w:val="20"/>
        </w:rPr>
      </w:pPr>
    </w:p>
    <w:p w14:paraId="027DE468" w14:textId="346E3614" w:rsidR="00464426" w:rsidRPr="00464426" w:rsidRDefault="00464426" w:rsidP="00BC2499">
      <w:pPr>
        <w:pStyle w:val="BodyText2"/>
        <w:pBdr>
          <w:left w:val="single" w:sz="4" w:space="0" w:color="auto"/>
        </w:pBdr>
        <w:ind w:left="720" w:hanging="720"/>
        <w:rPr>
          <w:i/>
          <w:iCs/>
          <w:sz w:val="20"/>
        </w:rPr>
      </w:pPr>
      <w:r w:rsidRPr="00464426">
        <w:rPr>
          <w:i/>
          <w:iCs/>
          <w:sz w:val="20"/>
        </w:rPr>
        <w:t>•</w:t>
      </w:r>
      <w:r w:rsidR="00EF7C65">
        <w:rPr>
          <w:i/>
          <w:iCs/>
          <w:sz w:val="20"/>
        </w:rPr>
        <w:tab/>
      </w:r>
      <w:r w:rsidRPr="00464426">
        <w:rPr>
          <w:i/>
          <w:iCs/>
          <w:sz w:val="20"/>
        </w:rPr>
        <w:t>Mid-Atlantic Region:  Delaware, District of Columbia, Maryland, New Jersey, Pennsylvania, Virginia, West Virginia</w:t>
      </w:r>
    </w:p>
    <w:p w14:paraId="32B02187" w14:textId="77777777" w:rsidR="00464426" w:rsidRPr="00464426" w:rsidRDefault="00464426" w:rsidP="00BC2499">
      <w:pPr>
        <w:pStyle w:val="BodyText2"/>
        <w:pBdr>
          <w:left w:val="single" w:sz="4" w:space="0" w:color="auto"/>
        </w:pBdr>
        <w:rPr>
          <w:i/>
          <w:iCs/>
          <w:sz w:val="20"/>
        </w:rPr>
      </w:pPr>
    </w:p>
    <w:p w14:paraId="2A031748" w14:textId="77777777" w:rsidR="00464426" w:rsidRPr="00464426" w:rsidRDefault="00464426" w:rsidP="00BC2499">
      <w:pPr>
        <w:pStyle w:val="BodyText2"/>
        <w:pBdr>
          <w:left w:val="single" w:sz="4" w:space="0" w:color="auto"/>
        </w:pBdr>
        <w:rPr>
          <w:i/>
          <w:iCs/>
          <w:sz w:val="20"/>
        </w:rPr>
      </w:pPr>
      <w:r w:rsidRPr="00464426">
        <w:rPr>
          <w:i/>
          <w:iCs/>
          <w:sz w:val="20"/>
        </w:rPr>
        <w:t>•</w:t>
      </w:r>
      <w:r w:rsidRPr="00464426">
        <w:rPr>
          <w:i/>
          <w:iCs/>
          <w:sz w:val="20"/>
        </w:rPr>
        <w:tab/>
        <w:t>Midwest Region:  Illinois, Indiana, Michigan, Ohio, Wisconsin</w:t>
      </w:r>
    </w:p>
    <w:p w14:paraId="53A0EA77" w14:textId="77777777" w:rsidR="00464426" w:rsidRPr="00464426" w:rsidRDefault="00464426" w:rsidP="00BC2499">
      <w:pPr>
        <w:pStyle w:val="BodyText2"/>
        <w:pBdr>
          <w:left w:val="single" w:sz="4" w:space="0" w:color="auto"/>
        </w:pBdr>
        <w:rPr>
          <w:i/>
          <w:iCs/>
          <w:sz w:val="20"/>
        </w:rPr>
      </w:pPr>
    </w:p>
    <w:p w14:paraId="5F4FB1BE" w14:textId="77777777" w:rsidR="00464426" w:rsidRPr="00464426" w:rsidRDefault="00464426" w:rsidP="00BC2499">
      <w:pPr>
        <w:pStyle w:val="BodyText2"/>
        <w:pBdr>
          <w:left w:val="single" w:sz="4" w:space="0" w:color="auto"/>
        </w:pBdr>
        <w:ind w:left="720" w:hanging="720"/>
        <w:rPr>
          <w:i/>
          <w:iCs/>
          <w:sz w:val="20"/>
        </w:rPr>
      </w:pPr>
      <w:r w:rsidRPr="00464426">
        <w:rPr>
          <w:i/>
          <w:iCs/>
          <w:sz w:val="20"/>
        </w:rPr>
        <w:t>•</w:t>
      </w:r>
      <w:r w:rsidRPr="00464426">
        <w:rPr>
          <w:i/>
          <w:iCs/>
          <w:sz w:val="20"/>
        </w:rPr>
        <w:tab/>
        <w:t>Northeast Region:  Connecticut, Maine, Massachusetts, New Hampshire, New York, Rhode Island, Vermont</w:t>
      </w:r>
    </w:p>
    <w:p w14:paraId="0F62B00D" w14:textId="77777777" w:rsidR="00464426" w:rsidRPr="00464426" w:rsidRDefault="00464426" w:rsidP="00BC2499">
      <w:pPr>
        <w:pStyle w:val="BodyText2"/>
        <w:pBdr>
          <w:left w:val="single" w:sz="4" w:space="0" w:color="auto"/>
        </w:pBdr>
        <w:rPr>
          <w:i/>
          <w:iCs/>
          <w:sz w:val="20"/>
        </w:rPr>
      </w:pPr>
    </w:p>
    <w:p w14:paraId="58089705" w14:textId="77777777" w:rsidR="00464426" w:rsidRPr="00464426" w:rsidRDefault="00464426" w:rsidP="00BC2499">
      <w:pPr>
        <w:pStyle w:val="BodyText2"/>
        <w:pBdr>
          <w:left w:val="single" w:sz="4" w:space="0" w:color="auto"/>
        </w:pBdr>
        <w:ind w:left="720" w:hanging="720"/>
        <w:rPr>
          <w:i/>
          <w:iCs/>
          <w:sz w:val="20"/>
        </w:rPr>
      </w:pPr>
      <w:r w:rsidRPr="00464426">
        <w:rPr>
          <w:i/>
          <w:iCs/>
          <w:sz w:val="20"/>
        </w:rPr>
        <w:t>•</w:t>
      </w:r>
      <w:r w:rsidRPr="00464426">
        <w:rPr>
          <w:i/>
          <w:iCs/>
          <w:sz w:val="20"/>
        </w:rPr>
        <w:tab/>
        <w:t xml:space="preserve">Southeast Region:  Alabama, Florida, Georgia, </w:t>
      </w:r>
      <w:proofErr w:type="gramStart"/>
      <w:r w:rsidRPr="00464426">
        <w:rPr>
          <w:i/>
          <w:iCs/>
          <w:sz w:val="20"/>
        </w:rPr>
        <w:t>Kentucky,  Louisiana</w:t>
      </w:r>
      <w:proofErr w:type="gramEnd"/>
      <w:r w:rsidRPr="00464426">
        <w:rPr>
          <w:i/>
          <w:iCs/>
          <w:sz w:val="20"/>
        </w:rPr>
        <w:t>, Mississippi, North Carolina, Puerto Rico, South Carolina, Tennessee, U.S. Virgin Islands</w:t>
      </w:r>
    </w:p>
    <w:p w14:paraId="5C9692C6" w14:textId="77777777" w:rsidR="00464426" w:rsidRPr="00464426" w:rsidRDefault="00464426" w:rsidP="00BC2499">
      <w:pPr>
        <w:pStyle w:val="BodyText2"/>
        <w:pBdr>
          <w:left w:val="single" w:sz="4" w:space="0" w:color="auto"/>
        </w:pBdr>
        <w:rPr>
          <w:i/>
          <w:iCs/>
          <w:sz w:val="20"/>
        </w:rPr>
      </w:pPr>
    </w:p>
    <w:p w14:paraId="1789AEB8" w14:textId="77777777" w:rsidR="00464426" w:rsidRPr="00464426" w:rsidRDefault="00464426" w:rsidP="00BC2499">
      <w:pPr>
        <w:pStyle w:val="BodyText2"/>
        <w:pBdr>
          <w:left w:val="single" w:sz="4" w:space="0" w:color="auto"/>
        </w:pBdr>
        <w:rPr>
          <w:i/>
          <w:iCs/>
          <w:sz w:val="20"/>
        </w:rPr>
      </w:pPr>
      <w:r w:rsidRPr="00464426">
        <w:rPr>
          <w:i/>
          <w:iCs/>
          <w:sz w:val="20"/>
        </w:rPr>
        <w:t>•</w:t>
      </w:r>
      <w:r w:rsidRPr="00464426">
        <w:rPr>
          <w:i/>
          <w:iCs/>
          <w:sz w:val="20"/>
        </w:rPr>
        <w:tab/>
        <w:t>Southwest Region:  Arkansas, Kansas, Missouri, Oklahoma, Texas</w:t>
      </w:r>
    </w:p>
    <w:p w14:paraId="180074D4" w14:textId="77777777" w:rsidR="00464426" w:rsidRPr="00464426" w:rsidRDefault="00464426" w:rsidP="00BC2499">
      <w:pPr>
        <w:pStyle w:val="BodyText2"/>
        <w:pBdr>
          <w:left w:val="single" w:sz="4" w:space="0" w:color="auto"/>
        </w:pBdr>
        <w:rPr>
          <w:i/>
          <w:iCs/>
          <w:sz w:val="20"/>
        </w:rPr>
      </w:pPr>
    </w:p>
    <w:p w14:paraId="648EB464" w14:textId="77777777" w:rsidR="00464426" w:rsidRPr="00464426" w:rsidRDefault="00464426" w:rsidP="00BC2499">
      <w:pPr>
        <w:pStyle w:val="BodyText2"/>
        <w:pBdr>
          <w:left w:val="single" w:sz="4" w:space="0" w:color="auto"/>
        </w:pBdr>
        <w:ind w:left="720" w:hanging="720"/>
        <w:rPr>
          <w:i/>
          <w:iCs/>
          <w:sz w:val="20"/>
        </w:rPr>
      </w:pPr>
      <w:r w:rsidRPr="00464426">
        <w:rPr>
          <w:i/>
          <w:iCs/>
          <w:sz w:val="20"/>
        </w:rPr>
        <w:t>•</w:t>
      </w:r>
      <w:r w:rsidRPr="00464426">
        <w:rPr>
          <w:i/>
          <w:iCs/>
          <w:sz w:val="20"/>
        </w:rPr>
        <w:tab/>
        <w:t>West Coast Region:  American Samoa, California, Guam, Hawaii, Johnston Atoll, Midway Atoll, Nevada, Northern Mariana Islands, Wake Island</w:t>
      </w:r>
    </w:p>
    <w:p w14:paraId="51AB5631" w14:textId="77777777" w:rsidR="00464426" w:rsidRPr="00464426" w:rsidRDefault="00464426" w:rsidP="00BC2499">
      <w:pPr>
        <w:pStyle w:val="BodyText2"/>
        <w:pBdr>
          <w:left w:val="single" w:sz="4" w:space="0" w:color="auto"/>
        </w:pBdr>
        <w:rPr>
          <w:i/>
          <w:iCs/>
          <w:sz w:val="20"/>
        </w:rPr>
      </w:pPr>
    </w:p>
    <w:p w14:paraId="747BF30D" w14:textId="2F8F7145" w:rsidR="00687276" w:rsidRPr="00687276" w:rsidRDefault="00464426" w:rsidP="00BC2499">
      <w:pPr>
        <w:pStyle w:val="BodyText2"/>
        <w:pBdr>
          <w:left w:val="single" w:sz="4" w:space="0" w:color="auto"/>
        </w:pBdr>
        <w:ind w:left="720" w:hanging="720"/>
        <w:rPr>
          <w:i/>
          <w:iCs/>
          <w:sz w:val="20"/>
        </w:rPr>
      </w:pPr>
      <w:r w:rsidRPr="00464426">
        <w:rPr>
          <w:i/>
          <w:iCs/>
          <w:sz w:val="20"/>
        </w:rPr>
        <w:t>•</w:t>
      </w:r>
      <w:r w:rsidRPr="00464426">
        <w:rPr>
          <w:i/>
          <w:iCs/>
          <w:sz w:val="20"/>
        </w:rPr>
        <w:tab/>
        <w:t>Western Region:  Alaska, Arizona, Colorado, Idaho, Iowa, Minnesota, Montana, Nebraska, New Mexico, North Dakota, Oregon, South Dakota, Utah, Washington, Wyoming-Atlantic Region:  Delaware, District of Columbia, Maryland, New Jersey, Pennsylvania, Virginia, West Virginia</w:t>
      </w:r>
      <w:r w:rsidR="00F40DEE">
        <w:rPr>
          <w:sz w:val="20"/>
        </w:rPr>
        <w:br/>
      </w:r>
      <w:r w:rsidR="00EF7C65">
        <w:rPr>
          <w:i/>
          <w:iCs/>
          <w:sz w:val="20"/>
        </w:rPr>
        <w:br/>
      </w:r>
    </w:p>
    <w:p w14:paraId="70D4D229" w14:textId="77777777" w:rsidR="00EF7C65" w:rsidRDefault="00EF7C65" w:rsidP="00BC2499">
      <w:pPr>
        <w:pStyle w:val="BodyText2"/>
        <w:pBdr>
          <w:left w:val="single" w:sz="4" w:space="0" w:color="auto"/>
        </w:pBdr>
        <w:rPr>
          <w:i/>
          <w:iCs/>
          <w:sz w:val="20"/>
        </w:rPr>
      </w:pPr>
      <w:r w:rsidRPr="00687276">
        <w:rPr>
          <w:i/>
          <w:iCs/>
          <w:sz w:val="20"/>
        </w:rPr>
        <w:t xml:space="preserve">5.2.4.2 NPAC Notification </w:t>
      </w:r>
    </w:p>
    <w:p w14:paraId="406C7545" w14:textId="584F2F42" w:rsidR="00670246" w:rsidRPr="00687276" w:rsidRDefault="00687276" w:rsidP="00BC2499">
      <w:pPr>
        <w:pStyle w:val="BodyText2"/>
        <w:pBdr>
          <w:left w:val="single" w:sz="4" w:space="0" w:color="auto"/>
        </w:pBdr>
        <w:rPr>
          <w:i/>
          <w:iCs/>
          <w:sz w:val="20"/>
          <w:highlight w:val="yellow"/>
        </w:rPr>
      </w:pPr>
      <w:r w:rsidRPr="00687276">
        <w:rPr>
          <w:i/>
          <w:iCs/>
          <w:sz w:val="20"/>
        </w:rPr>
        <w:t>Consistent with the Thousands-Block Number (NXX-X) Pooling Administration Guidelines (Reference 6), the NANPA/PA shall notify the NPAC via the mechanized interface of all block assignments and block returns/disconnects to ensure that the appropriate porting activity and industry notification occurs.</w:t>
      </w:r>
    </w:p>
    <w:p w14:paraId="57479750" w14:textId="77777777" w:rsidR="00670246" w:rsidRDefault="00670246" w:rsidP="00BC2499">
      <w:pPr>
        <w:pStyle w:val="BodyText2"/>
        <w:pBdr>
          <w:left w:val="single" w:sz="4" w:space="0" w:color="auto"/>
        </w:pBdr>
        <w:rPr>
          <w:sz w:val="20"/>
        </w:rPr>
      </w:pPr>
    </w:p>
    <w:p w14:paraId="5E326410" w14:textId="700604F7" w:rsidR="00EF7C65" w:rsidRPr="00EF7C65" w:rsidRDefault="00EF7C65" w:rsidP="00BC2499">
      <w:pPr>
        <w:pStyle w:val="BodyText2"/>
        <w:pBdr>
          <w:left w:val="single" w:sz="4" w:space="0" w:color="auto"/>
        </w:pBdr>
        <w:rPr>
          <w:i/>
          <w:iCs/>
          <w:sz w:val="20"/>
        </w:rPr>
      </w:pPr>
      <w:r>
        <w:rPr>
          <w:i/>
          <w:iCs/>
          <w:sz w:val="20"/>
        </w:rPr>
        <w:br/>
      </w:r>
      <w:r w:rsidRPr="00EF7C65">
        <w:rPr>
          <w:i/>
          <w:iCs/>
          <w:sz w:val="20"/>
        </w:rPr>
        <w:t>5.2.6.2 Administrative Responsibilities for Thousands-Blocks Reclamation</w:t>
      </w:r>
    </w:p>
    <w:p w14:paraId="4E35B572" w14:textId="77777777" w:rsidR="00EF7C65" w:rsidRPr="00EF7C65" w:rsidRDefault="00EF7C65" w:rsidP="00BC2499">
      <w:pPr>
        <w:pStyle w:val="BodyText2"/>
        <w:pBdr>
          <w:left w:val="single" w:sz="4" w:space="0" w:color="auto"/>
        </w:pBdr>
        <w:rPr>
          <w:i/>
          <w:iCs/>
          <w:sz w:val="20"/>
        </w:rPr>
      </w:pPr>
      <w:r w:rsidRPr="00EF7C65">
        <w:rPr>
          <w:i/>
          <w:iCs/>
          <w:sz w:val="20"/>
        </w:rPr>
        <w:t>At a minimum, the NANPA/PA shall:</w:t>
      </w:r>
    </w:p>
    <w:p w14:paraId="2F812762" w14:textId="6FC95A42" w:rsidR="00670246" w:rsidRPr="00EF7C65" w:rsidRDefault="00EF7C65" w:rsidP="00BC2499">
      <w:pPr>
        <w:pStyle w:val="BodyText2"/>
        <w:pBdr>
          <w:left w:val="single" w:sz="4" w:space="0" w:color="auto"/>
        </w:pBdr>
        <w:rPr>
          <w:i/>
          <w:iCs/>
          <w:sz w:val="20"/>
        </w:rPr>
      </w:pPr>
      <w:r w:rsidRPr="00EF7C65">
        <w:rPr>
          <w:i/>
          <w:iCs/>
          <w:sz w:val="20"/>
        </w:rPr>
        <w:t>•</w:t>
      </w:r>
      <w:r w:rsidRPr="00EF7C65">
        <w:rPr>
          <w:i/>
          <w:iCs/>
          <w:sz w:val="20"/>
        </w:rPr>
        <w:tab/>
        <w:t>Notify the NPAC of the thousands-block disconnect through the mechanized interface</w:t>
      </w:r>
    </w:p>
    <w:p w14:paraId="55457C6D" w14:textId="77777777" w:rsidR="00EF7C65" w:rsidRDefault="00EF7C65" w:rsidP="00BC2499">
      <w:pPr>
        <w:pStyle w:val="BodyText2"/>
        <w:pBdr>
          <w:left w:val="single" w:sz="4" w:space="0" w:color="auto"/>
        </w:pBdr>
        <w:rPr>
          <w:sz w:val="20"/>
        </w:rPr>
      </w:pPr>
    </w:p>
    <w:p w14:paraId="215CF7DC" w14:textId="00EB097A" w:rsidR="00E116B6" w:rsidRDefault="006F623B" w:rsidP="000B54AE">
      <w:pPr>
        <w:pStyle w:val="BodyText2"/>
        <w:pBdr>
          <w:left w:val="single" w:sz="4" w:space="0" w:color="auto"/>
        </w:pBdr>
        <w:rPr>
          <w:sz w:val="20"/>
        </w:rPr>
      </w:pPr>
      <w:r>
        <w:rPr>
          <w:sz w:val="20"/>
        </w:rPr>
        <w:t xml:space="preserve">The </w:t>
      </w:r>
      <w:r w:rsidR="0055444B">
        <w:rPr>
          <w:sz w:val="20"/>
        </w:rPr>
        <w:t xml:space="preserve">existing </w:t>
      </w:r>
      <w:r>
        <w:rPr>
          <w:sz w:val="20"/>
        </w:rPr>
        <w:t>mechanized interface that is</w:t>
      </w:r>
      <w:r w:rsidR="007E074E">
        <w:rPr>
          <w:sz w:val="20"/>
        </w:rPr>
        <w:t xml:space="preserve"> used today between PAS and the NPAC is </w:t>
      </w:r>
      <w:r w:rsidR="008E4273" w:rsidRPr="00876FC8">
        <w:rPr>
          <w:sz w:val="20"/>
        </w:rPr>
        <w:t>a</w:t>
      </w:r>
      <w:r>
        <w:rPr>
          <w:sz w:val="20"/>
        </w:rPr>
        <w:t xml:space="preserve"> </w:t>
      </w:r>
      <w:r w:rsidR="001548E5">
        <w:rPr>
          <w:sz w:val="20"/>
        </w:rPr>
        <w:t>SOAP API interface</w:t>
      </w:r>
      <w:r w:rsidR="00DD7694">
        <w:rPr>
          <w:sz w:val="20"/>
        </w:rPr>
        <w:t>.</w:t>
      </w:r>
      <w:r w:rsidR="001548E5">
        <w:rPr>
          <w:sz w:val="20"/>
        </w:rPr>
        <w:t xml:space="preserve"> </w:t>
      </w:r>
      <w:r w:rsidR="00DD7694">
        <w:rPr>
          <w:sz w:val="20"/>
        </w:rPr>
        <w:t xml:space="preserve">The SOAP API </w:t>
      </w:r>
      <w:r w:rsidR="007E074E">
        <w:rPr>
          <w:sz w:val="20"/>
        </w:rPr>
        <w:t xml:space="preserve">enables </w:t>
      </w:r>
      <w:r w:rsidR="00D25AB5">
        <w:rPr>
          <w:sz w:val="20"/>
        </w:rPr>
        <w:t xml:space="preserve">the </w:t>
      </w:r>
      <w:r w:rsidR="001548E5">
        <w:rPr>
          <w:sz w:val="20"/>
        </w:rPr>
        <w:t xml:space="preserve">NPAC to </w:t>
      </w:r>
      <w:r w:rsidR="007E074E">
        <w:rPr>
          <w:sz w:val="20"/>
        </w:rPr>
        <w:t xml:space="preserve">automatically </w:t>
      </w:r>
      <w:r w:rsidR="001548E5">
        <w:rPr>
          <w:sz w:val="20"/>
        </w:rPr>
        <w:t xml:space="preserve">retrieve </w:t>
      </w:r>
      <w:r w:rsidR="00D25AB5">
        <w:rPr>
          <w:sz w:val="20"/>
        </w:rPr>
        <w:t xml:space="preserve">and update </w:t>
      </w:r>
      <w:r w:rsidR="003171D8">
        <w:rPr>
          <w:sz w:val="20"/>
        </w:rPr>
        <w:t xml:space="preserve">the </w:t>
      </w:r>
      <w:r w:rsidR="00D25AB5">
        <w:rPr>
          <w:sz w:val="20"/>
        </w:rPr>
        <w:t xml:space="preserve">Part 1B and Part 5 </w:t>
      </w:r>
      <w:r w:rsidR="001548E5">
        <w:rPr>
          <w:sz w:val="20"/>
        </w:rPr>
        <w:t xml:space="preserve">work items </w:t>
      </w:r>
      <w:r w:rsidR="007E074E">
        <w:rPr>
          <w:sz w:val="20"/>
        </w:rPr>
        <w:t xml:space="preserve">created </w:t>
      </w:r>
      <w:r w:rsidR="00655DBB">
        <w:rPr>
          <w:sz w:val="20"/>
        </w:rPr>
        <w:t>for new thousands-blocks</w:t>
      </w:r>
      <w:r w:rsidR="0035496D" w:rsidRPr="00876FC8">
        <w:rPr>
          <w:sz w:val="20"/>
        </w:rPr>
        <w:t xml:space="preserve"> assignments</w:t>
      </w:r>
      <w:r w:rsidR="00655DBB">
        <w:rPr>
          <w:sz w:val="20"/>
        </w:rPr>
        <w:t>, modification</w:t>
      </w:r>
      <w:r w:rsidR="007E074E">
        <w:rPr>
          <w:sz w:val="20"/>
        </w:rPr>
        <w:t>s</w:t>
      </w:r>
      <w:r w:rsidR="00655DBB">
        <w:rPr>
          <w:sz w:val="20"/>
        </w:rPr>
        <w:t xml:space="preserve"> to existing thousands-blocks and thousands-block</w:t>
      </w:r>
      <w:r w:rsidR="00CB1A5C">
        <w:rPr>
          <w:sz w:val="20"/>
        </w:rPr>
        <w:t xml:space="preserve"> </w:t>
      </w:r>
      <w:r w:rsidR="00CB1A5C" w:rsidRPr="00210094">
        <w:rPr>
          <w:sz w:val="20"/>
        </w:rPr>
        <w:t xml:space="preserve">disconnects </w:t>
      </w:r>
      <w:r w:rsidR="00D625B5">
        <w:rPr>
          <w:sz w:val="20"/>
        </w:rPr>
        <w:t>requested</w:t>
      </w:r>
      <w:r w:rsidR="00A34D21" w:rsidRPr="00210094">
        <w:rPr>
          <w:sz w:val="20"/>
        </w:rPr>
        <w:t xml:space="preserve"> by the service providers</w:t>
      </w:r>
      <w:r w:rsidR="00D25AB5" w:rsidRPr="00210094">
        <w:rPr>
          <w:sz w:val="20"/>
        </w:rPr>
        <w:t>.</w:t>
      </w:r>
      <w:r w:rsidR="00D25AB5">
        <w:rPr>
          <w:sz w:val="20"/>
        </w:rPr>
        <w:t xml:space="preserve"> </w:t>
      </w:r>
      <w:r w:rsidR="00AF761C">
        <w:rPr>
          <w:sz w:val="20"/>
        </w:rPr>
        <w:br/>
      </w:r>
      <w:r w:rsidR="00AF761C">
        <w:rPr>
          <w:sz w:val="20"/>
        </w:rPr>
        <w:br/>
      </w:r>
      <w:r w:rsidR="007669C5" w:rsidRPr="005768D1">
        <w:rPr>
          <w:sz w:val="20"/>
        </w:rPr>
        <w:t xml:space="preserve">With the </w:t>
      </w:r>
      <w:r w:rsidR="002E5188" w:rsidRPr="00081E38">
        <w:rPr>
          <w:sz w:val="20"/>
        </w:rPr>
        <w:t>new system</w:t>
      </w:r>
      <w:r w:rsidR="00D26346">
        <w:rPr>
          <w:sz w:val="20"/>
        </w:rPr>
        <w:t>,</w:t>
      </w:r>
      <w:r w:rsidR="002E5188" w:rsidRPr="00081E38">
        <w:rPr>
          <w:sz w:val="20"/>
        </w:rPr>
        <w:t xml:space="preserve"> changes</w:t>
      </w:r>
      <w:r w:rsidR="00081E38" w:rsidRPr="00081E38">
        <w:rPr>
          <w:sz w:val="20"/>
        </w:rPr>
        <w:t xml:space="preserve"> </w:t>
      </w:r>
      <w:r w:rsidR="002108DE" w:rsidRPr="005768D1">
        <w:rPr>
          <w:sz w:val="20"/>
        </w:rPr>
        <w:t xml:space="preserve">will be made to </w:t>
      </w:r>
      <w:r w:rsidR="00560C80" w:rsidRPr="005768D1">
        <w:rPr>
          <w:sz w:val="20"/>
        </w:rPr>
        <w:t xml:space="preserve">the </w:t>
      </w:r>
      <w:r w:rsidR="00876FC8" w:rsidRPr="005768D1">
        <w:rPr>
          <w:sz w:val="20"/>
        </w:rPr>
        <w:t xml:space="preserve">SOAP API </w:t>
      </w:r>
      <w:r w:rsidR="005D4762" w:rsidRPr="005768D1">
        <w:rPr>
          <w:sz w:val="20"/>
        </w:rPr>
        <w:t xml:space="preserve">message format </w:t>
      </w:r>
      <w:r w:rsidR="009E6F8E">
        <w:rPr>
          <w:sz w:val="20"/>
        </w:rPr>
        <w:t xml:space="preserve">to </w:t>
      </w:r>
      <w:r w:rsidR="00081E38" w:rsidRPr="00081E38">
        <w:rPr>
          <w:sz w:val="20"/>
        </w:rPr>
        <w:t>align with the new system</w:t>
      </w:r>
      <w:r w:rsidR="003344A8">
        <w:rPr>
          <w:sz w:val="20"/>
        </w:rPr>
        <w:t xml:space="preserve"> requirements</w:t>
      </w:r>
      <w:r w:rsidR="001548E5" w:rsidRPr="00081E38">
        <w:rPr>
          <w:sz w:val="20"/>
        </w:rPr>
        <w:t>.</w:t>
      </w:r>
      <w:r w:rsidR="001548E5">
        <w:rPr>
          <w:sz w:val="20"/>
        </w:rPr>
        <w:t xml:space="preserve"> </w:t>
      </w:r>
      <w:r w:rsidR="002108DE" w:rsidRPr="005768D1">
        <w:rPr>
          <w:sz w:val="20"/>
        </w:rPr>
        <w:t xml:space="preserve">Because of these </w:t>
      </w:r>
      <w:r w:rsidR="002E5188" w:rsidRPr="005768D1">
        <w:rPr>
          <w:sz w:val="20"/>
        </w:rPr>
        <w:t>changes</w:t>
      </w:r>
      <w:r w:rsidR="002108DE" w:rsidRPr="005768D1">
        <w:rPr>
          <w:sz w:val="20"/>
        </w:rPr>
        <w:t xml:space="preserve">, it is anticipated that the </w:t>
      </w:r>
      <w:r w:rsidR="0034436C" w:rsidRPr="005768D1">
        <w:rPr>
          <w:sz w:val="20"/>
        </w:rPr>
        <w:t xml:space="preserve">NPAC </w:t>
      </w:r>
      <w:r w:rsidR="00DC414D" w:rsidRPr="000B54AE">
        <w:rPr>
          <w:sz w:val="20"/>
        </w:rPr>
        <w:t>may</w:t>
      </w:r>
      <w:r w:rsidR="002108DE" w:rsidRPr="005768D1">
        <w:rPr>
          <w:sz w:val="20"/>
        </w:rPr>
        <w:t xml:space="preserve"> also need to make changes </w:t>
      </w:r>
      <w:r w:rsidR="009E6F8E" w:rsidRPr="005768D1">
        <w:rPr>
          <w:sz w:val="20"/>
        </w:rPr>
        <w:t xml:space="preserve">to </w:t>
      </w:r>
      <w:r w:rsidR="00081E38" w:rsidRPr="005768D1">
        <w:rPr>
          <w:sz w:val="20"/>
        </w:rPr>
        <w:t>align with the new</w:t>
      </w:r>
      <w:r w:rsidR="00560C80" w:rsidRPr="005768D1">
        <w:rPr>
          <w:sz w:val="20"/>
        </w:rPr>
        <w:t xml:space="preserve"> API</w:t>
      </w:r>
      <w:r w:rsidR="00081E38" w:rsidRPr="005768D1">
        <w:rPr>
          <w:sz w:val="20"/>
        </w:rPr>
        <w:t xml:space="preserve"> </w:t>
      </w:r>
      <w:r w:rsidR="00B7545B" w:rsidRPr="005768D1">
        <w:rPr>
          <w:sz w:val="20"/>
        </w:rPr>
        <w:t>message format</w:t>
      </w:r>
      <w:r w:rsidR="001548E5" w:rsidRPr="005768D1">
        <w:rPr>
          <w:sz w:val="20"/>
        </w:rPr>
        <w:t>.</w:t>
      </w:r>
      <w:r w:rsidR="001548E5">
        <w:rPr>
          <w:sz w:val="20"/>
        </w:rPr>
        <w:t xml:space="preserve">  </w:t>
      </w:r>
      <w:r w:rsidR="008400C1">
        <w:rPr>
          <w:sz w:val="20"/>
        </w:rPr>
        <w:t xml:space="preserve">   </w:t>
      </w:r>
    </w:p>
    <w:p w14:paraId="7A456B88" w14:textId="543B275B" w:rsidR="007A3026" w:rsidRDefault="007A3026" w:rsidP="000B54AE">
      <w:pPr>
        <w:pStyle w:val="BodyText2"/>
        <w:pBdr>
          <w:left w:val="single" w:sz="4" w:space="0" w:color="auto"/>
        </w:pBdr>
        <w:rPr>
          <w:sz w:val="20"/>
        </w:rPr>
      </w:pPr>
    </w:p>
    <w:p w14:paraId="67AB8068" w14:textId="77777777" w:rsidR="007A3026" w:rsidRDefault="007A3026" w:rsidP="000B54AE">
      <w:pPr>
        <w:pStyle w:val="BodyText2"/>
        <w:pBdr>
          <w:left w:val="single" w:sz="4" w:space="0" w:color="auto"/>
        </w:pBdr>
        <w:rPr>
          <w:sz w:val="20"/>
        </w:rPr>
      </w:pPr>
    </w:p>
    <w:p w14:paraId="069D84D3" w14:textId="77777777" w:rsidR="00281F67" w:rsidRDefault="00281F67">
      <w:pPr>
        <w:rPr>
          <w:sz w:val="24"/>
        </w:rPr>
      </w:pPr>
    </w:p>
    <w:p w14:paraId="63FD3438"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03C93093"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13CE5AB4" w14:textId="77777777" w:rsidR="00A32668" w:rsidRDefault="00281F67" w:rsidP="001536B1">
      <w:pPr>
        <w:pStyle w:val="BodyText2"/>
        <w:rPr>
          <w:sz w:val="20"/>
        </w:rPr>
      </w:pPr>
      <w:r>
        <w:rPr>
          <w:sz w:val="20"/>
        </w:rPr>
        <w:t>A.   Exampl</w:t>
      </w:r>
      <w:r w:rsidR="00014278">
        <w:rPr>
          <w:sz w:val="20"/>
        </w:rPr>
        <w:t>es &amp; Impacts of Problem/Iss</w:t>
      </w:r>
      <w:r w:rsidR="008E6752">
        <w:rPr>
          <w:sz w:val="20"/>
        </w:rPr>
        <w:t xml:space="preserve">ue: </w:t>
      </w:r>
    </w:p>
    <w:p w14:paraId="722D347A" w14:textId="1F8EF607" w:rsidR="00633C46" w:rsidRDefault="00A32668" w:rsidP="001536B1">
      <w:pPr>
        <w:pStyle w:val="BodyText2"/>
        <w:rPr>
          <w:sz w:val="20"/>
        </w:rPr>
      </w:pPr>
      <w:r>
        <w:rPr>
          <w:sz w:val="20"/>
        </w:rPr>
        <w:br/>
      </w:r>
      <w:r w:rsidR="00633C46" w:rsidRPr="00442ADD">
        <w:rPr>
          <w:sz w:val="20"/>
        </w:rPr>
        <w:t xml:space="preserve">Below are relevant sections of the ATIS </w:t>
      </w:r>
      <w:r w:rsidR="001C7427" w:rsidRPr="001C7427">
        <w:rPr>
          <w:sz w:val="20"/>
        </w:rPr>
        <w:t xml:space="preserve">Industry Numbering Committee (INC) </w:t>
      </w:r>
      <w:r w:rsidR="00633C46" w:rsidRPr="00442ADD">
        <w:rPr>
          <w:sz w:val="20"/>
        </w:rPr>
        <w:t>Thousands-Block (NPA-NXX-X) &amp; Central Office Code (NPA-NXX) Administration Guidelines</w:t>
      </w:r>
      <w:r w:rsidR="00BC3E9B">
        <w:rPr>
          <w:sz w:val="20"/>
        </w:rPr>
        <w:t xml:space="preserve"> (TBCOCAG)</w:t>
      </w:r>
      <w:r w:rsidR="00442ADD" w:rsidRPr="00442ADD">
        <w:rPr>
          <w:sz w:val="20"/>
        </w:rPr>
        <w:t xml:space="preserve"> outlining the process of when a Part 1B and Part 5 is sent to the NPAC</w:t>
      </w:r>
      <w:r w:rsidR="00633C46" w:rsidRPr="00442ADD">
        <w:rPr>
          <w:sz w:val="20"/>
        </w:rPr>
        <w:t>:</w:t>
      </w:r>
    </w:p>
    <w:p w14:paraId="381750EE" w14:textId="718895DF" w:rsidR="00633C46" w:rsidRDefault="00633C46" w:rsidP="001536B1">
      <w:pPr>
        <w:pStyle w:val="BodyText2"/>
        <w:rPr>
          <w:sz w:val="20"/>
        </w:rPr>
      </w:pPr>
    </w:p>
    <w:p w14:paraId="4EFA12D1" w14:textId="77777777" w:rsidR="00633C46" w:rsidRPr="00510707" w:rsidRDefault="00633C46" w:rsidP="00633C46">
      <w:pPr>
        <w:pStyle w:val="BodyText2"/>
        <w:rPr>
          <w:i/>
          <w:iCs/>
          <w:sz w:val="20"/>
        </w:rPr>
      </w:pPr>
      <w:r w:rsidRPr="00510707">
        <w:rPr>
          <w:i/>
          <w:iCs/>
          <w:sz w:val="20"/>
        </w:rPr>
        <w:t>7.1.18</w:t>
      </w:r>
    </w:p>
    <w:p w14:paraId="6AB0CA25" w14:textId="77777777" w:rsidR="00633C46" w:rsidRPr="00510707" w:rsidRDefault="00633C46" w:rsidP="00633C46">
      <w:pPr>
        <w:pStyle w:val="BodyText2"/>
        <w:rPr>
          <w:i/>
          <w:iCs/>
          <w:sz w:val="20"/>
        </w:rPr>
      </w:pPr>
      <w:r w:rsidRPr="00510707">
        <w:rPr>
          <w:i/>
          <w:iCs/>
          <w:sz w:val="20"/>
        </w:rPr>
        <w:t xml:space="preserve"> </w:t>
      </w:r>
    </w:p>
    <w:p w14:paraId="1B47CEB3" w14:textId="77777777" w:rsidR="00633C46" w:rsidRPr="00510707" w:rsidRDefault="00633C46" w:rsidP="00633C46">
      <w:pPr>
        <w:pStyle w:val="BodyText2"/>
        <w:rPr>
          <w:i/>
          <w:iCs/>
          <w:sz w:val="20"/>
        </w:rPr>
      </w:pPr>
      <w:r w:rsidRPr="00510707">
        <w:rPr>
          <w:i/>
          <w:iCs/>
          <w:sz w:val="20"/>
        </w:rPr>
        <w:lastRenderedPageBreak/>
        <w:t>The PA issues the Part 3A to the SP and issues the Part 1B to the NPAC as confirmation of Thousands-Block Allocation.  A Part 1B is not issued for Thousands-Blocks associated with Pooled CO Code applications.</w:t>
      </w:r>
    </w:p>
    <w:p w14:paraId="2CD17A07" w14:textId="77777777" w:rsidR="00633C46" w:rsidRPr="00510707" w:rsidRDefault="00633C46" w:rsidP="00633C46">
      <w:pPr>
        <w:pStyle w:val="BodyText2"/>
        <w:rPr>
          <w:i/>
          <w:iCs/>
          <w:sz w:val="20"/>
        </w:rPr>
      </w:pPr>
      <w:r w:rsidRPr="00510707">
        <w:rPr>
          <w:i/>
          <w:iCs/>
          <w:sz w:val="20"/>
        </w:rPr>
        <w:t xml:space="preserve"> </w:t>
      </w:r>
    </w:p>
    <w:p w14:paraId="7B431F94" w14:textId="77777777" w:rsidR="00633C46" w:rsidRPr="00510707" w:rsidRDefault="00633C46" w:rsidP="00633C46">
      <w:pPr>
        <w:pStyle w:val="BodyText2"/>
        <w:rPr>
          <w:i/>
          <w:iCs/>
          <w:sz w:val="20"/>
        </w:rPr>
      </w:pPr>
      <w:r w:rsidRPr="00510707">
        <w:rPr>
          <w:i/>
          <w:iCs/>
          <w:sz w:val="20"/>
        </w:rPr>
        <w:t>8.1.8</w:t>
      </w:r>
    </w:p>
    <w:p w14:paraId="591F6414" w14:textId="77777777" w:rsidR="00633C46" w:rsidRPr="00510707" w:rsidRDefault="00633C46" w:rsidP="00633C46">
      <w:pPr>
        <w:pStyle w:val="BodyText2"/>
        <w:rPr>
          <w:i/>
          <w:iCs/>
          <w:sz w:val="20"/>
        </w:rPr>
      </w:pPr>
      <w:r w:rsidRPr="00510707">
        <w:rPr>
          <w:i/>
          <w:iCs/>
          <w:sz w:val="20"/>
        </w:rPr>
        <w:t xml:space="preserve"> </w:t>
      </w:r>
    </w:p>
    <w:p w14:paraId="244F4216" w14:textId="77777777" w:rsidR="00633C46" w:rsidRPr="00510707" w:rsidRDefault="00633C46" w:rsidP="00633C46">
      <w:pPr>
        <w:pStyle w:val="BodyText2"/>
        <w:rPr>
          <w:i/>
          <w:iCs/>
          <w:sz w:val="20"/>
        </w:rPr>
      </w:pPr>
      <w:r w:rsidRPr="00510707">
        <w:rPr>
          <w:i/>
          <w:iCs/>
          <w:sz w:val="20"/>
        </w:rPr>
        <w:t>The requested changes should be submitted via the Part 1A Thousands-Block (NPA-NXX-X) Application, and when necessary, the Part 1B NPAC Thousands-Block Data.</w:t>
      </w:r>
    </w:p>
    <w:p w14:paraId="0FA71246" w14:textId="77777777" w:rsidR="00633C46" w:rsidRPr="00510707" w:rsidRDefault="00633C46" w:rsidP="00633C46">
      <w:pPr>
        <w:pStyle w:val="BodyText2"/>
        <w:rPr>
          <w:i/>
          <w:iCs/>
          <w:sz w:val="20"/>
        </w:rPr>
      </w:pPr>
      <w:r w:rsidRPr="00510707">
        <w:rPr>
          <w:i/>
          <w:iCs/>
          <w:sz w:val="20"/>
        </w:rPr>
        <w:t xml:space="preserve"> </w:t>
      </w:r>
    </w:p>
    <w:p w14:paraId="1774B776" w14:textId="77777777" w:rsidR="00633C46" w:rsidRPr="00510707" w:rsidRDefault="00633C46" w:rsidP="00633C46">
      <w:pPr>
        <w:pStyle w:val="BodyText2"/>
        <w:rPr>
          <w:i/>
          <w:iCs/>
          <w:sz w:val="20"/>
        </w:rPr>
      </w:pPr>
      <w:r w:rsidRPr="00510707">
        <w:rPr>
          <w:i/>
          <w:iCs/>
          <w:sz w:val="20"/>
        </w:rPr>
        <w:t>8.2.4 d)</w:t>
      </w:r>
    </w:p>
    <w:p w14:paraId="73AEEDE6" w14:textId="77777777" w:rsidR="00633C46" w:rsidRPr="00510707" w:rsidRDefault="00633C46" w:rsidP="00633C46">
      <w:pPr>
        <w:pStyle w:val="BodyText2"/>
        <w:rPr>
          <w:i/>
          <w:iCs/>
          <w:sz w:val="20"/>
        </w:rPr>
      </w:pPr>
      <w:r w:rsidRPr="00510707">
        <w:rPr>
          <w:i/>
          <w:iCs/>
          <w:sz w:val="20"/>
        </w:rPr>
        <w:t xml:space="preserve"> </w:t>
      </w:r>
    </w:p>
    <w:p w14:paraId="18E98E10" w14:textId="77777777" w:rsidR="00633C46" w:rsidRPr="00510707" w:rsidRDefault="00633C46" w:rsidP="00633C46">
      <w:pPr>
        <w:pStyle w:val="BodyText2"/>
        <w:rPr>
          <w:i/>
          <w:iCs/>
          <w:sz w:val="20"/>
        </w:rPr>
      </w:pPr>
      <w:r w:rsidRPr="00510707">
        <w:rPr>
          <w:i/>
          <w:iCs/>
          <w:sz w:val="20"/>
        </w:rPr>
        <w:t xml:space="preserve">submit a Part 1A Thousands-Block (NPA-NXX-X) Application modification to the PA after Thousands-Blocks </w:t>
      </w:r>
      <w:proofErr w:type="gramStart"/>
      <w:r w:rsidRPr="00510707">
        <w:rPr>
          <w:i/>
          <w:iCs/>
          <w:sz w:val="20"/>
        </w:rPr>
        <w:t>are</w:t>
      </w:r>
      <w:proofErr w:type="gramEnd"/>
      <w:r w:rsidRPr="00510707">
        <w:rPr>
          <w:i/>
          <w:iCs/>
          <w:sz w:val="20"/>
        </w:rPr>
        <w:t xml:space="preserve"> Assigned if the Part 1B NPAC Thousands-Block Data needs updating because the CO Code Holder is retaining multiple Thousands-Blocks and the routing information for one or more of those Thousands-Blocks is different than the Pooled CO Code routing information. The PA forwards the Part 1B to the NPAC after processing the </w:t>
      </w:r>
      <w:proofErr w:type="gramStart"/>
      <w:r w:rsidRPr="00510707">
        <w:rPr>
          <w:i/>
          <w:iCs/>
          <w:sz w:val="20"/>
        </w:rPr>
        <w:t>modification;</w:t>
      </w:r>
      <w:proofErr w:type="gramEnd"/>
    </w:p>
    <w:p w14:paraId="52FBB8E1" w14:textId="77777777" w:rsidR="00633C46" w:rsidRPr="00510707" w:rsidRDefault="00633C46" w:rsidP="00633C46">
      <w:pPr>
        <w:pStyle w:val="BodyText2"/>
        <w:rPr>
          <w:i/>
          <w:iCs/>
          <w:sz w:val="20"/>
        </w:rPr>
      </w:pPr>
      <w:r w:rsidRPr="00510707">
        <w:rPr>
          <w:i/>
          <w:iCs/>
          <w:sz w:val="20"/>
        </w:rPr>
        <w:t xml:space="preserve"> </w:t>
      </w:r>
    </w:p>
    <w:p w14:paraId="1DF06B01" w14:textId="77777777" w:rsidR="00633C46" w:rsidRPr="00510707" w:rsidRDefault="00633C46" w:rsidP="00633C46">
      <w:pPr>
        <w:pStyle w:val="BodyText2"/>
        <w:rPr>
          <w:i/>
          <w:iCs/>
          <w:sz w:val="20"/>
        </w:rPr>
      </w:pPr>
      <w:r w:rsidRPr="00510707">
        <w:rPr>
          <w:i/>
          <w:iCs/>
          <w:sz w:val="20"/>
        </w:rPr>
        <w:t>9.1.1</w:t>
      </w:r>
    </w:p>
    <w:p w14:paraId="2B45C1FB" w14:textId="77777777" w:rsidR="00633C46" w:rsidRPr="00510707" w:rsidRDefault="00633C46" w:rsidP="00633C46">
      <w:pPr>
        <w:pStyle w:val="BodyText2"/>
        <w:rPr>
          <w:i/>
          <w:iCs/>
          <w:sz w:val="20"/>
        </w:rPr>
      </w:pPr>
      <w:r w:rsidRPr="00510707">
        <w:rPr>
          <w:i/>
          <w:iCs/>
          <w:sz w:val="20"/>
        </w:rPr>
        <w:t xml:space="preserve"> </w:t>
      </w:r>
    </w:p>
    <w:p w14:paraId="2E2F9200" w14:textId="77777777" w:rsidR="00633C46" w:rsidRPr="00510707" w:rsidRDefault="00633C46" w:rsidP="00633C46">
      <w:pPr>
        <w:pStyle w:val="BodyText2"/>
        <w:rPr>
          <w:i/>
          <w:iCs/>
          <w:sz w:val="20"/>
        </w:rPr>
      </w:pPr>
      <w:r w:rsidRPr="00510707">
        <w:rPr>
          <w:i/>
          <w:iCs/>
          <w:sz w:val="20"/>
        </w:rPr>
        <w:t>The requested changes should be submitted via the Part 1A Thousands-Block (NPA-NXX-X) Application, and when necessary, the Part 1B NPAC Thousands-Block Data.</w:t>
      </w:r>
    </w:p>
    <w:p w14:paraId="7200DF57" w14:textId="77777777" w:rsidR="00633C46" w:rsidRPr="00510707" w:rsidRDefault="00633C46" w:rsidP="00633C46">
      <w:pPr>
        <w:pStyle w:val="BodyText2"/>
        <w:rPr>
          <w:i/>
          <w:iCs/>
          <w:sz w:val="20"/>
        </w:rPr>
      </w:pPr>
      <w:r w:rsidRPr="00510707">
        <w:rPr>
          <w:i/>
          <w:iCs/>
          <w:sz w:val="20"/>
        </w:rPr>
        <w:t xml:space="preserve"> </w:t>
      </w:r>
    </w:p>
    <w:p w14:paraId="2685088A" w14:textId="77777777" w:rsidR="00633C46" w:rsidRPr="00510707" w:rsidRDefault="00633C46" w:rsidP="00633C46">
      <w:pPr>
        <w:pStyle w:val="BodyText2"/>
        <w:rPr>
          <w:i/>
          <w:iCs/>
          <w:sz w:val="20"/>
        </w:rPr>
      </w:pPr>
      <w:r w:rsidRPr="00510707">
        <w:rPr>
          <w:i/>
          <w:iCs/>
          <w:sz w:val="20"/>
        </w:rPr>
        <w:t>9.1.5</w:t>
      </w:r>
    </w:p>
    <w:p w14:paraId="58A55A64" w14:textId="77777777" w:rsidR="00633C46" w:rsidRPr="00510707" w:rsidRDefault="00633C46" w:rsidP="00633C46">
      <w:pPr>
        <w:pStyle w:val="BodyText2"/>
        <w:rPr>
          <w:i/>
          <w:iCs/>
          <w:sz w:val="20"/>
        </w:rPr>
      </w:pPr>
      <w:r w:rsidRPr="00510707">
        <w:rPr>
          <w:i/>
          <w:iCs/>
          <w:sz w:val="20"/>
        </w:rPr>
        <w:t xml:space="preserve"> </w:t>
      </w:r>
    </w:p>
    <w:p w14:paraId="5A899A60" w14:textId="77777777" w:rsidR="00633C46" w:rsidRPr="00510707" w:rsidRDefault="00633C46" w:rsidP="00633C46">
      <w:pPr>
        <w:pStyle w:val="BodyText2"/>
        <w:rPr>
          <w:i/>
          <w:iCs/>
          <w:sz w:val="20"/>
        </w:rPr>
      </w:pPr>
      <w:r w:rsidRPr="00510707">
        <w:rPr>
          <w:i/>
          <w:iCs/>
          <w:sz w:val="20"/>
        </w:rPr>
        <w:t xml:space="preserve">Changes, corrections, </w:t>
      </w:r>
      <w:proofErr w:type="gramStart"/>
      <w:r w:rsidRPr="00510707">
        <w:rPr>
          <w:i/>
          <w:iCs/>
          <w:sz w:val="20"/>
        </w:rPr>
        <w:t>modifications</w:t>
      </w:r>
      <w:proofErr w:type="gramEnd"/>
      <w:r w:rsidRPr="00510707">
        <w:rPr>
          <w:i/>
          <w:iCs/>
          <w:sz w:val="20"/>
        </w:rPr>
        <w:t xml:space="preserve"> and updates made to Number Portability Administration Center (NPAC) information on the Part 1B may cause a change to the original requested Effective Date on the Thousands-Block(s).  It is recommended that the SP, in addition to making updates in the appropriate fields, state in the “Comments” field of the Part 1A and Part 1B the type of change being requested. An updated Part 1B shall be forwarded to the NPAC.</w:t>
      </w:r>
    </w:p>
    <w:p w14:paraId="6BF42BDD" w14:textId="77777777" w:rsidR="00633C46" w:rsidRPr="00510707" w:rsidRDefault="00633C46" w:rsidP="00633C46">
      <w:pPr>
        <w:pStyle w:val="BodyText2"/>
        <w:rPr>
          <w:i/>
          <w:iCs/>
          <w:sz w:val="20"/>
        </w:rPr>
      </w:pPr>
      <w:r w:rsidRPr="00510707">
        <w:rPr>
          <w:i/>
          <w:iCs/>
          <w:sz w:val="20"/>
        </w:rPr>
        <w:t xml:space="preserve"> </w:t>
      </w:r>
    </w:p>
    <w:p w14:paraId="1143B912" w14:textId="77777777" w:rsidR="00633C46" w:rsidRPr="00510707" w:rsidRDefault="00633C46" w:rsidP="00633C46">
      <w:pPr>
        <w:pStyle w:val="BodyText2"/>
        <w:rPr>
          <w:i/>
          <w:iCs/>
          <w:sz w:val="20"/>
        </w:rPr>
      </w:pPr>
      <w:r w:rsidRPr="00510707">
        <w:rPr>
          <w:i/>
          <w:iCs/>
          <w:sz w:val="20"/>
        </w:rPr>
        <w:t>9.1.6</w:t>
      </w:r>
    </w:p>
    <w:p w14:paraId="6E1F9DB6" w14:textId="77777777" w:rsidR="00633C46" w:rsidRPr="00510707" w:rsidRDefault="00633C46" w:rsidP="00633C46">
      <w:pPr>
        <w:pStyle w:val="BodyText2"/>
        <w:rPr>
          <w:i/>
          <w:iCs/>
          <w:sz w:val="20"/>
        </w:rPr>
      </w:pPr>
      <w:r w:rsidRPr="00510707">
        <w:rPr>
          <w:i/>
          <w:iCs/>
          <w:sz w:val="20"/>
        </w:rPr>
        <w:t xml:space="preserve"> </w:t>
      </w:r>
    </w:p>
    <w:p w14:paraId="4DF23578" w14:textId="77777777" w:rsidR="00633C46" w:rsidRPr="00510707" w:rsidRDefault="00633C46" w:rsidP="00633C46">
      <w:pPr>
        <w:pStyle w:val="BodyText2"/>
        <w:rPr>
          <w:i/>
          <w:iCs/>
          <w:sz w:val="20"/>
        </w:rPr>
      </w:pPr>
      <w:r w:rsidRPr="00510707">
        <w:rPr>
          <w:i/>
          <w:iCs/>
          <w:sz w:val="20"/>
        </w:rPr>
        <w:t>When a correction to the “For Information Only” field is needed, it is the responsibility of the SP to send in a modification request to the PA via the Pooling Administration System (PAS) to update the Thousands-Block record information.  The updated Part 1B shall be forwarded to the NPAC.</w:t>
      </w:r>
    </w:p>
    <w:p w14:paraId="5FFA1B3A" w14:textId="77777777" w:rsidR="00633C46" w:rsidRPr="00510707" w:rsidRDefault="00633C46" w:rsidP="00633C46">
      <w:pPr>
        <w:pStyle w:val="BodyText2"/>
        <w:rPr>
          <w:i/>
          <w:iCs/>
          <w:sz w:val="20"/>
        </w:rPr>
      </w:pPr>
      <w:r w:rsidRPr="00510707">
        <w:rPr>
          <w:i/>
          <w:iCs/>
          <w:sz w:val="20"/>
        </w:rPr>
        <w:t xml:space="preserve"> </w:t>
      </w:r>
    </w:p>
    <w:p w14:paraId="18F369B9" w14:textId="77777777" w:rsidR="00633C46" w:rsidRPr="00510707" w:rsidRDefault="00633C46" w:rsidP="00633C46">
      <w:pPr>
        <w:pStyle w:val="BodyText2"/>
        <w:rPr>
          <w:i/>
          <w:iCs/>
          <w:sz w:val="20"/>
        </w:rPr>
      </w:pPr>
      <w:r w:rsidRPr="00510707">
        <w:rPr>
          <w:i/>
          <w:iCs/>
          <w:sz w:val="20"/>
        </w:rPr>
        <w:t>13.1.1 d)</w:t>
      </w:r>
    </w:p>
    <w:p w14:paraId="4D2B9607" w14:textId="77777777" w:rsidR="00633C46" w:rsidRPr="00510707" w:rsidRDefault="00633C46" w:rsidP="00633C46">
      <w:pPr>
        <w:pStyle w:val="BodyText2"/>
        <w:rPr>
          <w:i/>
          <w:iCs/>
          <w:sz w:val="20"/>
        </w:rPr>
      </w:pPr>
      <w:r w:rsidRPr="00510707">
        <w:rPr>
          <w:i/>
          <w:iCs/>
          <w:sz w:val="20"/>
        </w:rPr>
        <w:t xml:space="preserve"> </w:t>
      </w:r>
    </w:p>
    <w:p w14:paraId="1C2770BF" w14:textId="77777777" w:rsidR="00633C46" w:rsidRPr="00510707" w:rsidRDefault="00633C46" w:rsidP="00633C46">
      <w:pPr>
        <w:pStyle w:val="BodyText2"/>
        <w:rPr>
          <w:i/>
          <w:iCs/>
          <w:sz w:val="20"/>
        </w:rPr>
      </w:pPr>
      <w:r w:rsidRPr="00510707">
        <w:rPr>
          <w:i/>
          <w:iCs/>
          <w:sz w:val="20"/>
        </w:rPr>
        <w:t>PA forwards the completed Part 1B NPAC Thousands-Block Data to the Number Portability Administration Center (NPAC).</w:t>
      </w:r>
    </w:p>
    <w:p w14:paraId="301D1FF0" w14:textId="77777777" w:rsidR="00633C46" w:rsidRPr="00510707" w:rsidRDefault="00633C46" w:rsidP="00633C46">
      <w:pPr>
        <w:pStyle w:val="BodyText2"/>
        <w:rPr>
          <w:i/>
          <w:iCs/>
          <w:sz w:val="20"/>
        </w:rPr>
      </w:pPr>
      <w:r w:rsidRPr="00510707">
        <w:rPr>
          <w:i/>
          <w:iCs/>
          <w:sz w:val="20"/>
        </w:rPr>
        <w:t xml:space="preserve"> </w:t>
      </w:r>
    </w:p>
    <w:p w14:paraId="685EF7C7" w14:textId="77777777" w:rsidR="00633C46" w:rsidRPr="00510707" w:rsidRDefault="00633C46" w:rsidP="00633C46">
      <w:pPr>
        <w:pStyle w:val="BodyText2"/>
        <w:rPr>
          <w:i/>
          <w:iCs/>
          <w:sz w:val="20"/>
        </w:rPr>
      </w:pPr>
      <w:r w:rsidRPr="00510707">
        <w:rPr>
          <w:i/>
          <w:iCs/>
          <w:sz w:val="20"/>
        </w:rPr>
        <w:t>13.1.1 i)</w:t>
      </w:r>
    </w:p>
    <w:p w14:paraId="1E5472F9" w14:textId="77777777" w:rsidR="00633C46" w:rsidRPr="00510707" w:rsidRDefault="00633C46" w:rsidP="00633C46">
      <w:pPr>
        <w:pStyle w:val="BodyText2"/>
        <w:rPr>
          <w:i/>
          <w:iCs/>
          <w:sz w:val="20"/>
        </w:rPr>
      </w:pPr>
      <w:r w:rsidRPr="00510707">
        <w:rPr>
          <w:i/>
          <w:iCs/>
          <w:sz w:val="20"/>
        </w:rPr>
        <w:t xml:space="preserve"> </w:t>
      </w:r>
    </w:p>
    <w:p w14:paraId="28CB8097" w14:textId="77777777" w:rsidR="00633C46" w:rsidRPr="00510707" w:rsidRDefault="00633C46" w:rsidP="00633C46">
      <w:pPr>
        <w:pStyle w:val="BodyText2"/>
        <w:rPr>
          <w:i/>
          <w:iCs/>
          <w:sz w:val="20"/>
        </w:rPr>
      </w:pPr>
      <w:r w:rsidRPr="00510707">
        <w:rPr>
          <w:i/>
          <w:iCs/>
          <w:sz w:val="20"/>
        </w:rPr>
        <w:t>NPAC forwards the completed Part 1B to the SP and PA.</w:t>
      </w:r>
    </w:p>
    <w:p w14:paraId="2210FB4C" w14:textId="77777777" w:rsidR="00633C46" w:rsidRPr="00510707" w:rsidRDefault="00633C46" w:rsidP="00633C46">
      <w:pPr>
        <w:pStyle w:val="BodyText2"/>
        <w:rPr>
          <w:i/>
          <w:iCs/>
          <w:sz w:val="20"/>
        </w:rPr>
      </w:pPr>
      <w:r w:rsidRPr="00510707">
        <w:rPr>
          <w:i/>
          <w:iCs/>
          <w:sz w:val="20"/>
        </w:rPr>
        <w:t xml:space="preserve"> </w:t>
      </w:r>
    </w:p>
    <w:p w14:paraId="00854F4E" w14:textId="77777777" w:rsidR="00633C46" w:rsidRPr="00510707" w:rsidRDefault="00633C46" w:rsidP="00633C46">
      <w:pPr>
        <w:pStyle w:val="BodyText2"/>
        <w:rPr>
          <w:i/>
          <w:iCs/>
          <w:sz w:val="20"/>
        </w:rPr>
      </w:pPr>
      <w:r w:rsidRPr="00510707">
        <w:rPr>
          <w:i/>
          <w:iCs/>
          <w:sz w:val="20"/>
        </w:rPr>
        <w:t>13.2.1</w:t>
      </w:r>
    </w:p>
    <w:p w14:paraId="15401BC3" w14:textId="77777777" w:rsidR="00633C46" w:rsidRPr="00510707" w:rsidRDefault="00633C46" w:rsidP="00633C46">
      <w:pPr>
        <w:pStyle w:val="BodyText2"/>
        <w:rPr>
          <w:i/>
          <w:iCs/>
          <w:sz w:val="20"/>
        </w:rPr>
      </w:pPr>
      <w:r w:rsidRPr="00510707">
        <w:rPr>
          <w:i/>
          <w:iCs/>
          <w:sz w:val="20"/>
        </w:rPr>
        <w:t xml:space="preserve"> </w:t>
      </w:r>
    </w:p>
    <w:p w14:paraId="1FEA7CEE" w14:textId="5775B2B3" w:rsidR="00633C46" w:rsidRPr="00510707" w:rsidRDefault="00633C46" w:rsidP="00633C46">
      <w:pPr>
        <w:pStyle w:val="BodyText2"/>
        <w:rPr>
          <w:i/>
          <w:iCs/>
          <w:sz w:val="20"/>
        </w:rPr>
      </w:pPr>
      <w:r w:rsidRPr="00510707">
        <w:rPr>
          <w:i/>
          <w:iCs/>
          <w:sz w:val="20"/>
        </w:rPr>
        <w:t>In cases where the ISP Block Port application was submitted in the Pooling Administration System (PAS), the SP shall submit any Switching Entity/POI or Part 1B NPAC Thousands-Block Data modification and any disconnects to the ISP ported Thousands-Block through PAS using the Modify ISP Block Port Request or Disconnect ISP Block Port Request functions in PAS.</w:t>
      </w:r>
    </w:p>
    <w:p w14:paraId="6DDD81C8" w14:textId="77777777" w:rsidR="001A68D0" w:rsidRDefault="001A68D0" w:rsidP="00ED3DEE">
      <w:pPr>
        <w:pStyle w:val="BodyText2"/>
        <w:rPr>
          <w:sz w:val="20"/>
        </w:rPr>
      </w:pPr>
    </w:p>
    <w:p w14:paraId="0314B460" w14:textId="648E4180" w:rsidR="00A67B88" w:rsidRPr="00347396" w:rsidRDefault="005622D6" w:rsidP="00ED3DEE">
      <w:pPr>
        <w:pStyle w:val="BodyText2"/>
        <w:rPr>
          <w:sz w:val="20"/>
        </w:rPr>
      </w:pPr>
      <w:r w:rsidRPr="005622D6">
        <w:rPr>
          <w:sz w:val="20"/>
        </w:rPr>
        <w:t xml:space="preserve">Today, the NPAC </w:t>
      </w:r>
      <w:r w:rsidR="008B0350" w:rsidRPr="00347396">
        <w:rPr>
          <w:sz w:val="20"/>
        </w:rPr>
        <w:t>retrieves and updates</w:t>
      </w:r>
      <w:r w:rsidRPr="005622D6">
        <w:rPr>
          <w:sz w:val="20"/>
        </w:rPr>
        <w:t xml:space="preserve"> the </w:t>
      </w:r>
      <w:r w:rsidR="001E5764" w:rsidRPr="00347396">
        <w:rPr>
          <w:sz w:val="20"/>
        </w:rPr>
        <w:t>Part 1B and Part 5</w:t>
      </w:r>
      <w:r w:rsidRPr="00347396">
        <w:rPr>
          <w:sz w:val="20"/>
        </w:rPr>
        <w:t xml:space="preserve"> work</w:t>
      </w:r>
      <w:r w:rsidRPr="005622D6">
        <w:rPr>
          <w:sz w:val="20"/>
        </w:rPr>
        <w:t xml:space="preserve"> items in </w:t>
      </w:r>
      <w:r w:rsidR="0018288F" w:rsidRPr="00347396">
        <w:rPr>
          <w:sz w:val="20"/>
        </w:rPr>
        <w:t xml:space="preserve">PAS </w:t>
      </w:r>
      <w:r w:rsidR="001E5764" w:rsidRPr="00347396">
        <w:rPr>
          <w:sz w:val="20"/>
        </w:rPr>
        <w:t xml:space="preserve">using </w:t>
      </w:r>
      <w:r w:rsidR="0018288F" w:rsidRPr="00347396">
        <w:rPr>
          <w:sz w:val="20"/>
        </w:rPr>
        <w:t>a</w:t>
      </w:r>
      <w:r w:rsidR="001E5764" w:rsidRPr="00347396">
        <w:rPr>
          <w:sz w:val="20"/>
        </w:rPr>
        <w:t xml:space="preserve"> </w:t>
      </w:r>
      <w:r w:rsidRPr="00347396">
        <w:rPr>
          <w:sz w:val="20"/>
        </w:rPr>
        <w:t xml:space="preserve">SOAP API. </w:t>
      </w:r>
    </w:p>
    <w:p w14:paraId="7B2F2B49" w14:textId="77777777" w:rsidR="00A67B88" w:rsidRPr="0018288F" w:rsidRDefault="00A67B88" w:rsidP="00ED3DEE">
      <w:pPr>
        <w:pStyle w:val="BodyText2"/>
        <w:rPr>
          <w:sz w:val="20"/>
          <w:highlight w:val="yellow"/>
        </w:rPr>
      </w:pPr>
    </w:p>
    <w:p w14:paraId="746AD26E" w14:textId="7BF6C0B7" w:rsidR="00EF07F4" w:rsidRPr="00EA3AB8" w:rsidRDefault="005622D6" w:rsidP="00EF07F4">
      <w:pPr>
        <w:pStyle w:val="BodyText2"/>
        <w:rPr>
          <w:color w:val="000000" w:themeColor="text1"/>
          <w:sz w:val="20"/>
        </w:rPr>
      </w:pPr>
      <w:r w:rsidRPr="00EF07F4">
        <w:rPr>
          <w:color w:val="000000" w:themeColor="text1"/>
          <w:sz w:val="20"/>
        </w:rPr>
        <w:t>Th</w:t>
      </w:r>
      <w:r w:rsidR="001E5764" w:rsidRPr="00EF07F4">
        <w:rPr>
          <w:color w:val="000000" w:themeColor="text1"/>
          <w:sz w:val="20"/>
        </w:rPr>
        <w:t xml:space="preserve">e </w:t>
      </w:r>
      <w:r w:rsidR="001936C0" w:rsidRPr="00EF07F4">
        <w:rPr>
          <w:color w:val="000000" w:themeColor="text1"/>
          <w:sz w:val="20"/>
        </w:rPr>
        <w:t>new</w:t>
      </w:r>
      <w:r w:rsidRPr="000B54AE">
        <w:rPr>
          <w:color w:val="000000" w:themeColor="text1"/>
          <w:sz w:val="20"/>
        </w:rPr>
        <w:t xml:space="preserve"> system </w:t>
      </w:r>
      <w:r w:rsidR="001936C0" w:rsidRPr="00EF07F4">
        <w:rPr>
          <w:color w:val="000000" w:themeColor="text1"/>
          <w:sz w:val="20"/>
        </w:rPr>
        <w:t xml:space="preserve">will </w:t>
      </w:r>
      <w:r w:rsidR="00764798" w:rsidRPr="00EF07F4">
        <w:rPr>
          <w:color w:val="000000" w:themeColor="text1"/>
          <w:sz w:val="20"/>
        </w:rPr>
        <w:t xml:space="preserve">continue to </w:t>
      </w:r>
      <w:r w:rsidR="00154331" w:rsidRPr="00EF07F4">
        <w:rPr>
          <w:color w:val="000000" w:themeColor="text1"/>
          <w:sz w:val="20"/>
        </w:rPr>
        <w:t xml:space="preserve">support </w:t>
      </w:r>
      <w:r w:rsidR="00EF07F4" w:rsidRPr="00EF07F4">
        <w:rPr>
          <w:color w:val="000000" w:themeColor="text1"/>
          <w:sz w:val="20"/>
        </w:rPr>
        <w:t>the mechanized interface with</w:t>
      </w:r>
      <w:r w:rsidR="00154331" w:rsidRPr="00EF07F4">
        <w:rPr>
          <w:color w:val="000000" w:themeColor="text1"/>
          <w:sz w:val="20"/>
        </w:rPr>
        <w:t xml:space="preserve"> </w:t>
      </w:r>
      <w:r w:rsidR="0015667B" w:rsidRPr="00EF07F4">
        <w:rPr>
          <w:color w:val="000000" w:themeColor="text1"/>
          <w:sz w:val="20"/>
        </w:rPr>
        <w:t>SOAP</w:t>
      </w:r>
      <w:r w:rsidR="00154331" w:rsidRPr="00EF07F4">
        <w:rPr>
          <w:color w:val="000000" w:themeColor="text1"/>
          <w:sz w:val="20"/>
        </w:rPr>
        <w:t xml:space="preserve"> technology </w:t>
      </w:r>
      <w:r w:rsidR="00DB181F" w:rsidRPr="00EF07F4">
        <w:rPr>
          <w:color w:val="000000" w:themeColor="text1"/>
          <w:sz w:val="20"/>
        </w:rPr>
        <w:t xml:space="preserve">as agreed upon </w:t>
      </w:r>
      <w:r w:rsidR="00764798" w:rsidRPr="00EF07F4">
        <w:rPr>
          <w:color w:val="000000" w:themeColor="text1"/>
          <w:sz w:val="20"/>
        </w:rPr>
        <w:t>between</w:t>
      </w:r>
      <w:r w:rsidRPr="000B54AE">
        <w:rPr>
          <w:color w:val="000000" w:themeColor="text1"/>
          <w:sz w:val="20"/>
        </w:rPr>
        <w:t xml:space="preserve"> the </w:t>
      </w:r>
      <w:r w:rsidR="00764798" w:rsidRPr="00EF07F4">
        <w:rPr>
          <w:color w:val="000000" w:themeColor="text1"/>
          <w:sz w:val="20"/>
        </w:rPr>
        <w:t xml:space="preserve">NANPA and </w:t>
      </w:r>
      <w:r w:rsidRPr="000B54AE">
        <w:rPr>
          <w:color w:val="000000" w:themeColor="text1"/>
          <w:sz w:val="20"/>
        </w:rPr>
        <w:t xml:space="preserve">the </w:t>
      </w:r>
      <w:r w:rsidR="00764798" w:rsidRPr="00EF07F4">
        <w:rPr>
          <w:color w:val="000000" w:themeColor="text1"/>
          <w:sz w:val="20"/>
        </w:rPr>
        <w:t>NPAC</w:t>
      </w:r>
      <w:r w:rsidR="0015667B" w:rsidRPr="00EF07F4">
        <w:rPr>
          <w:color w:val="000000" w:themeColor="text1"/>
          <w:sz w:val="20"/>
        </w:rPr>
        <w:t xml:space="preserve">. </w:t>
      </w:r>
      <w:r w:rsidR="00EF07F4" w:rsidRPr="00EA3AB8">
        <w:rPr>
          <w:color w:val="000000" w:themeColor="text1"/>
          <w:sz w:val="20"/>
        </w:rPr>
        <w:t xml:space="preserve">However, the </w:t>
      </w:r>
      <w:r w:rsidRPr="000B54AE">
        <w:rPr>
          <w:color w:val="000000" w:themeColor="text1"/>
          <w:sz w:val="20"/>
        </w:rPr>
        <w:t xml:space="preserve">SOAP API </w:t>
      </w:r>
      <w:r w:rsidR="00EF07F4" w:rsidRPr="00EA3AB8">
        <w:rPr>
          <w:color w:val="000000" w:themeColor="text1"/>
          <w:sz w:val="20"/>
        </w:rPr>
        <w:t xml:space="preserve">message format </w:t>
      </w:r>
      <w:r w:rsidR="008B4F60" w:rsidRPr="00EA3AB8">
        <w:rPr>
          <w:color w:val="000000" w:themeColor="text1"/>
          <w:sz w:val="20"/>
        </w:rPr>
        <w:t>require</w:t>
      </w:r>
      <w:r w:rsidR="006811ED">
        <w:rPr>
          <w:color w:val="000000" w:themeColor="text1"/>
          <w:sz w:val="20"/>
        </w:rPr>
        <w:t>s</w:t>
      </w:r>
      <w:r w:rsidR="00BE3AA6" w:rsidRPr="00EA3AB8">
        <w:rPr>
          <w:color w:val="000000" w:themeColor="text1"/>
          <w:sz w:val="20"/>
        </w:rPr>
        <w:t xml:space="preserve"> </w:t>
      </w:r>
      <w:r w:rsidR="00EF07F4" w:rsidRPr="00EA3AB8">
        <w:rPr>
          <w:color w:val="000000" w:themeColor="text1"/>
          <w:sz w:val="20"/>
        </w:rPr>
        <w:t>changes</w:t>
      </w:r>
    </w:p>
    <w:p w14:paraId="4117C6FD" w14:textId="75262BD4" w:rsidR="00EF07F4" w:rsidRPr="00EF07F4" w:rsidRDefault="00EF07F4" w:rsidP="00EF07F4">
      <w:pPr>
        <w:pStyle w:val="BodyText2"/>
        <w:rPr>
          <w:color w:val="000000" w:themeColor="text1"/>
          <w:sz w:val="20"/>
        </w:rPr>
      </w:pPr>
      <w:r w:rsidRPr="00EA3AB8">
        <w:rPr>
          <w:color w:val="000000" w:themeColor="text1"/>
          <w:sz w:val="20"/>
        </w:rPr>
        <w:lastRenderedPageBreak/>
        <w:t xml:space="preserve">to support the Part 1B and Part 5 </w:t>
      </w:r>
      <w:r w:rsidR="00BE3AA6" w:rsidRPr="00EA3AB8">
        <w:rPr>
          <w:color w:val="000000" w:themeColor="text1"/>
          <w:sz w:val="20"/>
        </w:rPr>
        <w:t xml:space="preserve">form </w:t>
      </w:r>
      <w:r w:rsidRPr="00EA3AB8">
        <w:rPr>
          <w:color w:val="000000" w:themeColor="text1"/>
          <w:sz w:val="20"/>
        </w:rPr>
        <w:t>changes</w:t>
      </w:r>
      <w:r w:rsidR="005622D6" w:rsidRPr="000B54AE">
        <w:rPr>
          <w:color w:val="000000" w:themeColor="text1"/>
          <w:sz w:val="20"/>
        </w:rPr>
        <w:t xml:space="preserve"> in the new system</w:t>
      </w:r>
      <w:r w:rsidRPr="00EA3AB8">
        <w:rPr>
          <w:color w:val="000000" w:themeColor="text1"/>
          <w:sz w:val="20"/>
        </w:rPr>
        <w:t>.</w:t>
      </w:r>
      <w:r w:rsidRPr="00EF07F4">
        <w:rPr>
          <w:color w:val="000000" w:themeColor="text1"/>
          <w:sz w:val="20"/>
        </w:rPr>
        <w:t xml:space="preserve"> Naming conventions used in the API messages should change</w:t>
      </w:r>
      <w:r w:rsidR="0015667B" w:rsidRPr="000B54AE">
        <w:rPr>
          <w:color w:val="000000" w:themeColor="text1"/>
          <w:sz w:val="20"/>
        </w:rPr>
        <w:t xml:space="preserve"> to </w:t>
      </w:r>
      <w:r w:rsidRPr="00EF07F4">
        <w:rPr>
          <w:color w:val="000000" w:themeColor="text1"/>
          <w:sz w:val="20"/>
        </w:rPr>
        <w:t>align with the new system. Namespace references in the SOAP API WSDL document should change as per the new system domain name.</w:t>
      </w:r>
    </w:p>
    <w:p w14:paraId="76AC786A" w14:textId="1E9B3364" w:rsidR="005622D6" w:rsidRPr="005622D6" w:rsidRDefault="005622D6" w:rsidP="00ED3DEE">
      <w:pPr>
        <w:pStyle w:val="BodyText2"/>
        <w:rPr>
          <w:sz w:val="20"/>
        </w:rPr>
      </w:pPr>
    </w:p>
    <w:p w14:paraId="49765B61" w14:textId="77777777" w:rsidR="005622D6" w:rsidRPr="000B54AE" w:rsidRDefault="005622D6" w:rsidP="00ED3DEE">
      <w:pPr>
        <w:pStyle w:val="BodyText2"/>
        <w:rPr>
          <w:color w:val="FF0000"/>
          <w:sz w:val="20"/>
        </w:rPr>
      </w:pPr>
    </w:p>
    <w:p w14:paraId="163FD7AF" w14:textId="6FD7EEB9" w:rsidR="00D015EF" w:rsidRPr="00D015EF" w:rsidRDefault="00D015EF" w:rsidP="00D015EF">
      <w:pPr>
        <w:pStyle w:val="BodyText2"/>
        <w:rPr>
          <w:color w:val="000000" w:themeColor="text1"/>
          <w:sz w:val="20"/>
        </w:rPr>
      </w:pPr>
      <w:r w:rsidRPr="00D015EF">
        <w:rPr>
          <w:color w:val="000000" w:themeColor="text1"/>
          <w:sz w:val="20"/>
        </w:rPr>
        <w:t xml:space="preserve">Because of these changes we anticipate the NPAC </w:t>
      </w:r>
      <w:r w:rsidR="00DC414D" w:rsidRPr="000B54AE">
        <w:rPr>
          <w:color w:val="000000" w:themeColor="text1"/>
          <w:sz w:val="20"/>
        </w:rPr>
        <w:t>may</w:t>
      </w:r>
      <w:r w:rsidRPr="00D015EF">
        <w:rPr>
          <w:color w:val="000000" w:themeColor="text1"/>
          <w:sz w:val="20"/>
        </w:rPr>
        <w:t xml:space="preserve"> also need to make changes in their system.</w:t>
      </w:r>
    </w:p>
    <w:p w14:paraId="3CC34BB2" w14:textId="53D572C3" w:rsidR="000A330E" w:rsidRPr="00D015EF" w:rsidRDefault="00510707" w:rsidP="000A330E">
      <w:pPr>
        <w:pStyle w:val="BodyText2"/>
        <w:rPr>
          <w:color w:val="000000" w:themeColor="text1"/>
          <w:sz w:val="20"/>
        </w:rPr>
      </w:pPr>
      <w:r w:rsidRPr="000B54AE">
        <w:rPr>
          <w:color w:val="000000" w:themeColor="text1"/>
          <w:sz w:val="20"/>
        </w:rPr>
        <w:t xml:space="preserve">If the NPAC is unable to make changes to </w:t>
      </w:r>
      <w:r w:rsidR="000A330E" w:rsidRPr="00D015EF">
        <w:rPr>
          <w:color w:val="000000" w:themeColor="text1"/>
          <w:sz w:val="20"/>
        </w:rPr>
        <w:t>align with</w:t>
      </w:r>
      <w:r w:rsidRPr="000B54AE">
        <w:rPr>
          <w:color w:val="000000" w:themeColor="text1"/>
          <w:sz w:val="20"/>
        </w:rPr>
        <w:t xml:space="preserve"> the </w:t>
      </w:r>
      <w:r w:rsidR="000A330E" w:rsidRPr="00D015EF">
        <w:rPr>
          <w:color w:val="000000" w:themeColor="text1"/>
          <w:sz w:val="20"/>
        </w:rPr>
        <w:t>updated</w:t>
      </w:r>
      <w:r w:rsidRPr="000B54AE">
        <w:rPr>
          <w:color w:val="000000" w:themeColor="text1"/>
          <w:sz w:val="20"/>
        </w:rPr>
        <w:t xml:space="preserve"> API </w:t>
      </w:r>
      <w:r w:rsidR="00BD285E" w:rsidRPr="00D015EF">
        <w:rPr>
          <w:color w:val="000000" w:themeColor="text1"/>
          <w:sz w:val="20"/>
        </w:rPr>
        <w:t>message format</w:t>
      </w:r>
      <w:r w:rsidRPr="000B54AE">
        <w:rPr>
          <w:color w:val="000000" w:themeColor="text1"/>
          <w:sz w:val="20"/>
        </w:rPr>
        <w:t xml:space="preserve"> and </w:t>
      </w:r>
      <w:r w:rsidR="00BD285E" w:rsidRPr="00D015EF">
        <w:rPr>
          <w:color w:val="000000" w:themeColor="text1"/>
          <w:sz w:val="20"/>
        </w:rPr>
        <w:t>references</w:t>
      </w:r>
      <w:r w:rsidRPr="000B54AE">
        <w:rPr>
          <w:color w:val="000000" w:themeColor="text1"/>
          <w:sz w:val="20"/>
        </w:rPr>
        <w:t xml:space="preserve"> the industry </w:t>
      </w:r>
      <w:r w:rsidR="000A330E" w:rsidRPr="00D015EF">
        <w:rPr>
          <w:color w:val="000000" w:themeColor="text1"/>
          <w:sz w:val="20"/>
        </w:rPr>
        <w:t>may</w:t>
      </w:r>
      <w:r w:rsidRPr="000B54AE">
        <w:rPr>
          <w:color w:val="000000" w:themeColor="text1"/>
          <w:sz w:val="20"/>
        </w:rPr>
        <w:t xml:space="preserve"> need to look at </w:t>
      </w:r>
      <w:r w:rsidR="00DC343F" w:rsidRPr="000B54AE">
        <w:rPr>
          <w:color w:val="000000" w:themeColor="text1"/>
          <w:sz w:val="20"/>
        </w:rPr>
        <w:t xml:space="preserve">an </w:t>
      </w:r>
      <w:r w:rsidRPr="000B54AE">
        <w:rPr>
          <w:color w:val="000000" w:themeColor="text1"/>
          <w:sz w:val="20"/>
        </w:rPr>
        <w:t xml:space="preserve">alternative solution </w:t>
      </w:r>
      <w:r w:rsidR="00DC343F" w:rsidRPr="000B54AE">
        <w:rPr>
          <w:color w:val="000000" w:themeColor="text1"/>
          <w:sz w:val="20"/>
        </w:rPr>
        <w:t xml:space="preserve">that would not impact the service providers </w:t>
      </w:r>
      <w:r w:rsidR="00F55DB9" w:rsidRPr="000B54AE">
        <w:rPr>
          <w:color w:val="000000" w:themeColor="text1"/>
          <w:sz w:val="20"/>
        </w:rPr>
        <w:t xml:space="preserve">requested </w:t>
      </w:r>
      <w:r w:rsidR="00BE3AA6">
        <w:rPr>
          <w:color w:val="000000" w:themeColor="text1"/>
          <w:sz w:val="20"/>
        </w:rPr>
        <w:t xml:space="preserve">thousands-block </w:t>
      </w:r>
      <w:r w:rsidR="00FC3CA7" w:rsidRPr="000B54AE">
        <w:rPr>
          <w:color w:val="000000" w:themeColor="text1"/>
          <w:sz w:val="20"/>
        </w:rPr>
        <w:t>updates in NPAC</w:t>
      </w:r>
      <w:r w:rsidRPr="000B54AE">
        <w:rPr>
          <w:color w:val="000000" w:themeColor="text1"/>
          <w:sz w:val="20"/>
        </w:rPr>
        <w:t>.</w:t>
      </w:r>
    </w:p>
    <w:p w14:paraId="65C8C573" w14:textId="3EA08D63" w:rsidR="00A80521" w:rsidRDefault="00A80521" w:rsidP="00ED3DEE">
      <w:pPr>
        <w:pStyle w:val="BodyText2"/>
        <w:rPr>
          <w:sz w:val="20"/>
        </w:rPr>
      </w:pPr>
    </w:p>
    <w:p w14:paraId="624BA6EA" w14:textId="77777777" w:rsidR="00281F67" w:rsidRDefault="00281F67">
      <w:pPr>
        <w:rPr>
          <w:sz w:val="24"/>
        </w:rPr>
      </w:pPr>
    </w:p>
    <w:p w14:paraId="0B4F4C8E" w14:textId="77777777" w:rsidR="00CD0697" w:rsidRDefault="00281F67">
      <w:pPr>
        <w:pStyle w:val="BodyText2"/>
        <w:rPr>
          <w:sz w:val="20"/>
        </w:rPr>
      </w:pPr>
      <w:r>
        <w:rPr>
          <w:sz w:val="20"/>
        </w:rPr>
        <w:t>B.   Frequency of O</w:t>
      </w:r>
      <w:r w:rsidR="005B655C">
        <w:rPr>
          <w:sz w:val="20"/>
        </w:rPr>
        <w:t>ccurrence:</w:t>
      </w:r>
    </w:p>
    <w:p w14:paraId="7C38AC7D" w14:textId="3C0A4B9A" w:rsidR="004A3C1E" w:rsidRDefault="004A3C1E">
      <w:pPr>
        <w:pStyle w:val="BodyText2"/>
        <w:rPr>
          <w:sz w:val="20"/>
        </w:rPr>
      </w:pPr>
    </w:p>
    <w:p w14:paraId="3D5FF142" w14:textId="5EBC1465" w:rsidR="00260AE0" w:rsidRPr="00260AE0" w:rsidRDefault="00F87909">
      <w:pPr>
        <w:pStyle w:val="BodyText2"/>
        <w:rPr>
          <w:sz w:val="20"/>
        </w:rPr>
      </w:pPr>
      <w:r w:rsidRPr="00260AE0">
        <w:rPr>
          <w:sz w:val="20"/>
        </w:rPr>
        <w:t xml:space="preserve">NANPA’s core hours of operation is Monday through Friday, 8am ET to 8pm ET, </w:t>
      </w:r>
      <w:r w:rsidR="00260AE0" w:rsidRPr="00260AE0">
        <w:rPr>
          <w:sz w:val="20"/>
        </w:rPr>
        <w:t xml:space="preserve">majority of the Part 1B and Part 5 work items will be </w:t>
      </w:r>
      <w:r w:rsidR="00F962F3">
        <w:rPr>
          <w:sz w:val="20"/>
        </w:rPr>
        <w:t>created</w:t>
      </w:r>
      <w:r w:rsidR="00260AE0" w:rsidRPr="00260AE0">
        <w:rPr>
          <w:sz w:val="20"/>
        </w:rPr>
        <w:t xml:space="preserve"> during this window, however based on </w:t>
      </w:r>
      <w:r w:rsidR="00051B61" w:rsidRPr="00260AE0">
        <w:rPr>
          <w:sz w:val="20"/>
        </w:rPr>
        <w:t>workload</w:t>
      </w:r>
      <w:r w:rsidR="00260AE0" w:rsidRPr="00260AE0">
        <w:rPr>
          <w:sz w:val="20"/>
        </w:rPr>
        <w:t xml:space="preserve">, </w:t>
      </w:r>
      <w:proofErr w:type="gramStart"/>
      <w:r w:rsidR="00260AE0" w:rsidRPr="00260AE0">
        <w:rPr>
          <w:sz w:val="20"/>
        </w:rPr>
        <w:t>Part</w:t>
      </w:r>
      <w:proofErr w:type="gramEnd"/>
      <w:r w:rsidR="00260AE0" w:rsidRPr="00260AE0">
        <w:rPr>
          <w:sz w:val="20"/>
        </w:rPr>
        <w:t xml:space="preserve"> 1B and Part 5 work items may </w:t>
      </w:r>
      <w:r w:rsidR="00F962F3">
        <w:rPr>
          <w:sz w:val="20"/>
        </w:rPr>
        <w:t xml:space="preserve">be created </w:t>
      </w:r>
      <w:r w:rsidR="00260AE0" w:rsidRPr="00260AE0">
        <w:rPr>
          <w:sz w:val="20"/>
        </w:rPr>
        <w:t>after hours and on the weekends.</w:t>
      </w:r>
      <w:r w:rsidR="00453C0A">
        <w:rPr>
          <w:sz w:val="20"/>
        </w:rPr>
        <w:t xml:space="preserve"> </w:t>
      </w:r>
    </w:p>
    <w:p w14:paraId="24E0DB11" w14:textId="77777777" w:rsidR="00260AE0" w:rsidRDefault="00260AE0">
      <w:pPr>
        <w:pStyle w:val="BodyText2"/>
        <w:rPr>
          <w:sz w:val="20"/>
          <w:highlight w:val="yellow"/>
        </w:rPr>
      </w:pPr>
    </w:p>
    <w:p w14:paraId="720337CC" w14:textId="64B4C7BD" w:rsidR="00F91AFE" w:rsidRDefault="00453C0A">
      <w:pPr>
        <w:pStyle w:val="BodyText2"/>
        <w:rPr>
          <w:sz w:val="20"/>
        </w:rPr>
      </w:pPr>
      <w:r>
        <w:rPr>
          <w:sz w:val="20"/>
        </w:rPr>
        <w:t>Today, t</w:t>
      </w:r>
      <w:r w:rsidR="00260AE0">
        <w:rPr>
          <w:sz w:val="20"/>
        </w:rPr>
        <w:t xml:space="preserve">he NPAC retrieves and updates the Part 1B and Part 5 work items </w:t>
      </w:r>
      <w:r w:rsidR="004B3699">
        <w:rPr>
          <w:sz w:val="20"/>
        </w:rPr>
        <w:t xml:space="preserve">using the SOAP API interface </w:t>
      </w:r>
      <w:r>
        <w:rPr>
          <w:sz w:val="20"/>
        </w:rPr>
        <w:t>nightly</w:t>
      </w:r>
      <w:r w:rsidR="00260AE0">
        <w:rPr>
          <w:sz w:val="20"/>
        </w:rPr>
        <w:t xml:space="preserve">. </w:t>
      </w:r>
    </w:p>
    <w:p w14:paraId="6A59FBFE" w14:textId="19251D76" w:rsidR="00051B61" w:rsidRDefault="00051B61">
      <w:pPr>
        <w:pStyle w:val="BodyText2"/>
        <w:rPr>
          <w:sz w:val="20"/>
        </w:rPr>
      </w:pPr>
    </w:p>
    <w:p w14:paraId="325C615A" w14:textId="1C79E6C1" w:rsidR="00771C7E" w:rsidRDefault="00771C7E" w:rsidP="00771C7E">
      <w:pPr>
        <w:pStyle w:val="BodyText2"/>
        <w:rPr>
          <w:sz w:val="20"/>
        </w:rPr>
      </w:pPr>
      <w:r>
        <w:rPr>
          <w:sz w:val="20"/>
        </w:rPr>
        <w:t>In 2021, 103,810</w:t>
      </w:r>
      <w:r w:rsidRPr="00972443">
        <w:rPr>
          <w:sz w:val="20"/>
        </w:rPr>
        <w:t xml:space="preserve"> Part 1B</w:t>
      </w:r>
      <w:r>
        <w:rPr>
          <w:sz w:val="20"/>
        </w:rPr>
        <w:t xml:space="preserve"> work items were created </w:t>
      </w:r>
      <w:r w:rsidRPr="00972443">
        <w:rPr>
          <w:sz w:val="20"/>
        </w:rPr>
        <w:t xml:space="preserve">and </w:t>
      </w:r>
      <w:r>
        <w:rPr>
          <w:sz w:val="20"/>
        </w:rPr>
        <w:t xml:space="preserve">18,051 </w:t>
      </w:r>
      <w:r w:rsidRPr="00972443">
        <w:rPr>
          <w:sz w:val="20"/>
        </w:rPr>
        <w:t xml:space="preserve">Part 5 work items </w:t>
      </w:r>
      <w:r>
        <w:rPr>
          <w:sz w:val="20"/>
        </w:rPr>
        <w:t xml:space="preserve">were </w:t>
      </w:r>
      <w:r w:rsidRPr="00972443">
        <w:rPr>
          <w:sz w:val="20"/>
        </w:rPr>
        <w:t>created</w:t>
      </w:r>
      <w:r>
        <w:rPr>
          <w:sz w:val="20"/>
        </w:rPr>
        <w:t xml:space="preserve">. So far in 2022 (through June 28) 43,456 </w:t>
      </w:r>
      <w:r w:rsidRPr="00972443">
        <w:rPr>
          <w:sz w:val="20"/>
        </w:rPr>
        <w:t>Part 1B</w:t>
      </w:r>
      <w:r>
        <w:rPr>
          <w:sz w:val="20"/>
        </w:rPr>
        <w:t xml:space="preserve"> work items have been created </w:t>
      </w:r>
      <w:r w:rsidRPr="00972443">
        <w:rPr>
          <w:sz w:val="20"/>
        </w:rPr>
        <w:t xml:space="preserve">and </w:t>
      </w:r>
      <w:r>
        <w:rPr>
          <w:sz w:val="20"/>
        </w:rPr>
        <w:t xml:space="preserve">11,368 </w:t>
      </w:r>
      <w:r w:rsidRPr="00972443">
        <w:rPr>
          <w:sz w:val="20"/>
        </w:rPr>
        <w:t xml:space="preserve">Part 5 work items </w:t>
      </w:r>
      <w:r>
        <w:rPr>
          <w:sz w:val="20"/>
        </w:rPr>
        <w:t xml:space="preserve">have been </w:t>
      </w:r>
      <w:r w:rsidRPr="00972443">
        <w:rPr>
          <w:sz w:val="20"/>
        </w:rPr>
        <w:t>created</w:t>
      </w:r>
      <w:r>
        <w:rPr>
          <w:sz w:val="20"/>
        </w:rPr>
        <w:t>.</w:t>
      </w:r>
    </w:p>
    <w:p w14:paraId="253E2D80" w14:textId="77777777" w:rsidR="00A80521" w:rsidRDefault="00A80521">
      <w:pPr>
        <w:pStyle w:val="BodyText2"/>
        <w:rPr>
          <w:sz w:val="20"/>
        </w:rPr>
      </w:pPr>
    </w:p>
    <w:p w14:paraId="5D64452A" w14:textId="77777777" w:rsidR="00281F67" w:rsidRDefault="00281F67">
      <w:pPr>
        <w:rPr>
          <w:sz w:val="24"/>
        </w:rPr>
      </w:pPr>
    </w:p>
    <w:p w14:paraId="6ABE48E7" w14:textId="77777777" w:rsidR="00281F67" w:rsidRDefault="00281F67">
      <w:pPr>
        <w:pStyle w:val="BodyText2"/>
        <w:numPr>
          <w:ilvl w:val="0"/>
          <w:numId w:val="1"/>
        </w:numPr>
        <w:rPr>
          <w:sz w:val="20"/>
        </w:rPr>
      </w:pPr>
      <w:r>
        <w:rPr>
          <w:sz w:val="20"/>
        </w:rPr>
        <w:t>NPAC Regions Impacted:</w:t>
      </w:r>
    </w:p>
    <w:p w14:paraId="20FFAE4C" w14:textId="77777777" w:rsidR="00281F67" w:rsidRDefault="00216184">
      <w:pPr>
        <w:pStyle w:val="BodyText2"/>
        <w:rPr>
          <w:sz w:val="20"/>
        </w:rPr>
      </w:pPr>
      <w:r>
        <w:rPr>
          <w:sz w:val="20"/>
        </w:rPr>
        <w:t xml:space="preserve"> </w:t>
      </w:r>
      <w:r w:rsidR="00281F67">
        <w:rPr>
          <w:sz w:val="20"/>
        </w:rPr>
        <w:t xml:space="preserve">Mid Atlantic ___ Midwest___ Northeast___ Southeast___ Southwest___ Western___     </w:t>
      </w:r>
    </w:p>
    <w:p w14:paraId="0BCE4E10" w14:textId="62383533" w:rsidR="00281F67" w:rsidRPr="00B616D9" w:rsidRDefault="00281F67">
      <w:pPr>
        <w:pStyle w:val="BodyText2"/>
        <w:rPr>
          <w:sz w:val="20"/>
          <w:u w:val="single"/>
        </w:rPr>
      </w:pPr>
      <w:r>
        <w:rPr>
          <w:sz w:val="20"/>
        </w:rPr>
        <w:t xml:space="preserve"> West Coast_</w:t>
      </w:r>
      <w:r w:rsidR="0036076E">
        <w:rPr>
          <w:sz w:val="20"/>
        </w:rPr>
        <w:t xml:space="preserve"> </w:t>
      </w:r>
      <w:r>
        <w:rPr>
          <w:sz w:val="20"/>
        </w:rPr>
        <w:t xml:space="preserve">  </w:t>
      </w:r>
      <w:proofErr w:type="gramStart"/>
      <w:r>
        <w:rPr>
          <w:sz w:val="20"/>
        </w:rPr>
        <w:t>ALL</w:t>
      </w:r>
      <w:r w:rsidR="00B616D9">
        <w:rPr>
          <w:sz w:val="20"/>
        </w:rPr>
        <w:t xml:space="preserve"> </w:t>
      </w:r>
      <w:r w:rsidR="0006282D">
        <w:rPr>
          <w:sz w:val="20"/>
          <w:u w:val="single"/>
        </w:rPr>
        <w:t xml:space="preserve"> </w:t>
      </w:r>
      <w:r w:rsidR="0036076E">
        <w:rPr>
          <w:sz w:val="20"/>
          <w:u w:val="single"/>
        </w:rPr>
        <w:t>X</w:t>
      </w:r>
      <w:proofErr w:type="gramEnd"/>
      <w:r w:rsidR="0006282D">
        <w:rPr>
          <w:sz w:val="20"/>
          <w:u w:val="single"/>
        </w:rPr>
        <w:t xml:space="preserve"> </w:t>
      </w:r>
    </w:p>
    <w:p w14:paraId="049574FD" w14:textId="77777777" w:rsidR="00281F67" w:rsidRDefault="00281F67">
      <w:pPr>
        <w:rPr>
          <w:sz w:val="24"/>
        </w:rPr>
      </w:pPr>
    </w:p>
    <w:p w14:paraId="74B5B1B9" w14:textId="77777777" w:rsidR="00F17FA1" w:rsidRDefault="00F17FA1">
      <w:pPr>
        <w:rPr>
          <w:sz w:val="24"/>
        </w:rPr>
      </w:pPr>
    </w:p>
    <w:p w14:paraId="796FFFAA" w14:textId="3D10AEAB" w:rsidR="00281F67" w:rsidRDefault="00281F67">
      <w:pPr>
        <w:pStyle w:val="BodyText2"/>
        <w:rPr>
          <w:sz w:val="20"/>
        </w:rPr>
      </w:pPr>
      <w:r>
        <w:rPr>
          <w:sz w:val="20"/>
        </w:rPr>
        <w:t xml:space="preserve">D.  Rationale why existing process is deficient: </w:t>
      </w:r>
    </w:p>
    <w:p w14:paraId="58B00788" w14:textId="77777777" w:rsidR="004A3C1E" w:rsidRDefault="004A3C1E">
      <w:pPr>
        <w:pStyle w:val="BodyText2"/>
        <w:rPr>
          <w:sz w:val="20"/>
        </w:rPr>
      </w:pPr>
    </w:p>
    <w:p w14:paraId="4FFC427B" w14:textId="428C6193" w:rsidR="008B6818" w:rsidRPr="008B6818" w:rsidRDefault="008B6818" w:rsidP="008B6818">
      <w:pPr>
        <w:pStyle w:val="BodyText2"/>
        <w:rPr>
          <w:color w:val="000000" w:themeColor="text1"/>
          <w:sz w:val="20"/>
        </w:rPr>
      </w:pPr>
      <w:r w:rsidRPr="008B6818">
        <w:rPr>
          <w:color w:val="000000" w:themeColor="text1"/>
          <w:sz w:val="20"/>
        </w:rPr>
        <w:t>Message format in the existing SOAP API does not contain the changes required in the</w:t>
      </w:r>
      <w:r w:rsidR="00A27F46" w:rsidRPr="000B54AE">
        <w:rPr>
          <w:color w:val="000000" w:themeColor="text1"/>
          <w:sz w:val="20"/>
        </w:rPr>
        <w:t xml:space="preserve"> new system </w:t>
      </w:r>
      <w:r w:rsidRPr="008B6818">
        <w:rPr>
          <w:color w:val="000000" w:themeColor="text1"/>
          <w:sz w:val="20"/>
        </w:rPr>
        <w:t>for Part 1B and Part 5. Naming conventions in API messages and Namespace references in the WSDL file</w:t>
      </w:r>
      <w:r w:rsidR="00A27F46" w:rsidRPr="000B54AE">
        <w:rPr>
          <w:color w:val="000000" w:themeColor="text1"/>
          <w:sz w:val="20"/>
        </w:rPr>
        <w:t xml:space="preserve"> will be </w:t>
      </w:r>
      <w:r w:rsidRPr="008B6818">
        <w:rPr>
          <w:color w:val="000000" w:themeColor="text1"/>
          <w:sz w:val="20"/>
        </w:rPr>
        <w:t xml:space="preserve">obsolete and outdated in the new system. </w:t>
      </w:r>
    </w:p>
    <w:p w14:paraId="5294F9FD" w14:textId="27A7F69C" w:rsidR="00757E21" w:rsidRPr="000B54AE" w:rsidRDefault="008B6818">
      <w:pPr>
        <w:pStyle w:val="BodyText2"/>
        <w:rPr>
          <w:color w:val="000000" w:themeColor="text1"/>
          <w:sz w:val="20"/>
        </w:rPr>
      </w:pPr>
      <w:r w:rsidRPr="008B6818">
        <w:rPr>
          <w:color w:val="000000" w:themeColor="text1"/>
          <w:sz w:val="20"/>
        </w:rPr>
        <w:br/>
        <w:t xml:space="preserve">Though the new mechanized interface between NANPA and the NPAC will continue to support SOAP technology, the new system is a complete redesign and rewriting of software </w:t>
      </w:r>
      <w:r w:rsidR="00A27F46" w:rsidRPr="000B54AE">
        <w:rPr>
          <w:color w:val="000000" w:themeColor="text1"/>
          <w:sz w:val="20"/>
        </w:rPr>
        <w:t xml:space="preserve">using the new database </w:t>
      </w:r>
      <w:r w:rsidRPr="008B6818">
        <w:rPr>
          <w:color w:val="000000" w:themeColor="text1"/>
          <w:sz w:val="20"/>
        </w:rPr>
        <w:t>scheme and application architecture</w:t>
      </w:r>
      <w:r w:rsidR="00121E03" w:rsidRPr="000B54AE">
        <w:rPr>
          <w:color w:val="000000" w:themeColor="text1"/>
          <w:sz w:val="20"/>
        </w:rPr>
        <w:t>, including</w:t>
      </w:r>
      <w:r w:rsidR="002F3ABC" w:rsidRPr="000B54AE">
        <w:rPr>
          <w:color w:val="000000" w:themeColor="text1"/>
          <w:sz w:val="20"/>
        </w:rPr>
        <w:t xml:space="preserve"> </w:t>
      </w:r>
      <w:r w:rsidRPr="008B6818">
        <w:rPr>
          <w:color w:val="000000" w:themeColor="text1"/>
          <w:sz w:val="20"/>
        </w:rPr>
        <w:t>updating</w:t>
      </w:r>
      <w:r w:rsidR="00F06A49" w:rsidRPr="000B54AE">
        <w:rPr>
          <w:color w:val="000000" w:themeColor="text1"/>
          <w:sz w:val="20"/>
        </w:rPr>
        <w:t xml:space="preserve"> the</w:t>
      </w:r>
      <w:r w:rsidR="006348D4" w:rsidRPr="000B54AE">
        <w:rPr>
          <w:color w:val="000000" w:themeColor="text1"/>
          <w:sz w:val="20"/>
        </w:rPr>
        <w:t xml:space="preserve"> API message format </w:t>
      </w:r>
      <w:r w:rsidRPr="008B6818">
        <w:rPr>
          <w:color w:val="000000" w:themeColor="text1"/>
          <w:sz w:val="20"/>
        </w:rPr>
        <w:t>in the SOAP API to align with the new system</w:t>
      </w:r>
      <w:r w:rsidR="003326CD" w:rsidRPr="000B54AE">
        <w:rPr>
          <w:color w:val="000000" w:themeColor="text1"/>
          <w:sz w:val="20"/>
        </w:rPr>
        <w:t>.</w:t>
      </w:r>
    </w:p>
    <w:p w14:paraId="398B3332" w14:textId="77777777" w:rsidR="004A44B9" w:rsidRPr="00513FA8" w:rsidRDefault="004A44B9">
      <w:pPr>
        <w:pStyle w:val="BodyText2"/>
        <w:rPr>
          <w:sz w:val="20"/>
          <w:highlight w:val="yellow"/>
        </w:rPr>
      </w:pPr>
    </w:p>
    <w:p w14:paraId="345F7B2A" w14:textId="77777777" w:rsidR="00281F67" w:rsidRDefault="00281F67">
      <w:pPr>
        <w:rPr>
          <w:sz w:val="24"/>
        </w:rPr>
      </w:pPr>
    </w:p>
    <w:p w14:paraId="4E04CC4E" w14:textId="77777777" w:rsidR="001C082F" w:rsidRDefault="00281F67">
      <w:pPr>
        <w:pStyle w:val="BodyText2"/>
        <w:rPr>
          <w:sz w:val="20"/>
        </w:rPr>
      </w:pPr>
      <w:r>
        <w:rPr>
          <w:sz w:val="20"/>
        </w:rPr>
        <w:t>E.   Identify action taken in other comm</w:t>
      </w:r>
      <w:r w:rsidR="001C082F">
        <w:rPr>
          <w:sz w:val="20"/>
        </w:rPr>
        <w:t xml:space="preserve">ittees / forums: </w:t>
      </w:r>
    </w:p>
    <w:p w14:paraId="291EA235" w14:textId="77777777" w:rsidR="004A3C1E" w:rsidRDefault="004A3C1E">
      <w:pPr>
        <w:pStyle w:val="BodyText2"/>
        <w:rPr>
          <w:sz w:val="20"/>
        </w:rPr>
      </w:pPr>
    </w:p>
    <w:p w14:paraId="721AEAD3" w14:textId="02AA0F81" w:rsidR="001B4A8A" w:rsidRDefault="001B4A8A">
      <w:pPr>
        <w:pStyle w:val="BodyText2"/>
        <w:rPr>
          <w:sz w:val="20"/>
        </w:rPr>
      </w:pPr>
      <w:r w:rsidRPr="006F73A0">
        <w:rPr>
          <w:sz w:val="20"/>
        </w:rPr>
        <w:t>As part of the process of developing a new system, NANPA submitted</w:t>
      </w:r>
      <w:r w:rsidR="00A56A0D" w:rsidRPr="006F73A0">
        <w:rPr>
          <w:sz w:val="20"/>
        </w:rPr>
        <w:t xml:space="preserve"> </w:t>
      </w:r>
      <w:r w:rsidRPr="006F73A0">
        <w:rPr>
          <w:sz w:val="20"/>
        </w:rPr>
        <w:t>issues to</w:t>
      </w:r>
      <w:r w:rsidR="00A56A0D" w:rsidRPr="006F73A0">
        <w:rPr>
          <w:sz w:val="20"/>
        </w:rPr>
        <w:t xml:space="preserve"> </w:t>
      </w:r>
      <w:r w:rsidRPr="006F73A0">
        <w:rPr>
          <w:sz w:val="20"/>
        </w:rPr>
        <w:t xml:space="preserve">INC to consolidate and update </w:t>
      </w:r>
      <w:r w:rsidR="007B3951" w:rsidRPr="006F73A0">
        <w:rPr>
          <w:sz w:val="20"/>
        </w:rPr>
        <w:t>e</w:t>
      </w:r>
      <w:r w:rsidRPr="006F73A0">
        <w:rPr>
          <w:sz w:val="20"/>
        </w:rPr>
        <w:t xml:space="preserve">xisting </w:t>
      </w:r>
      <w:r w:rsidR="00541757" w:rsidRPr="006F73A0">
        <w:rPr>
          <w:sz w:val="20"/>
        </w:rPr>
        <w:t xml:space="preserve">TBCOCAG related </w:t>
      </w:r>
      <w:r w:rsidRPr="006F73A0">
        <w:rPr>
          <w:sz w:val="20"/>
        </w:rPr>
        <w:t xml:space="preserve">forms </w:t>
      </w:r>
      <w:r w:rsidR="00541757" w:rsidRPr="006F73A0">
        <w:rPr>
          <w:sz w:val="20"/>
        </w:rPr>
        <w:t xml:space="preserve">that will </w:t>
      </w:r>
      <w:r w:rsidRPr="006F73A0">
        <w:rPr>
          <w:sz w:val="20"/>
        </w:rPr>
        <w:t>streamline the process of requesting thousands-blocks and CO codes</w:t>
      </w:r>
      <w:r w:rsidR="00541757" w:rsidRPr="006F73A0">
        <w:rPr>
          <w:sz w:val="20"/>
        </w:rPr>
        <w:t xml:space="preserve"> in the new system</w:t>
      </w:r>
      <w:r w:rsidR="00DE0202">
        <w:rPr>
          <w:sz w:val="20"/>
        </w:rPr>
        <w:t xml:space="preserve"> (refer to INC Issue 897)</w:t>
      </w:r>
      <w:r w:rsidR="00541757" w:rsidRPr="006F73A0">
        <w:rPr>
          <w:sz w:val="20"/>
        </w:rPr>
        <w:t xml:space="preserve">. </w:t>
      </w:r>
    </w:p>
    <w:p w14:paraId="6C8D75C8" w14:textId="09EC79DD" w:rsidR="00DE0202" w:rsidRDefault="00DE0202">
      <w:pPr>
        <w:pStyle w:val="BodyText2"/>
        <w:rPr>
          <w:sz w:val="20"/>
        </w:rPr>
      </w:pPr>
    </w:p>
    <w:p w14:paraId="6D9E867A" w14:textId="03496698" w:rsidR="00DE0202" w:rsidRPr="006F73A0" w:rsidRDefault="00DE0202" w:rsidP="00DE0202">
      <w:pPr>
        <w:pStyle w:val="BodyText2"/>
        <w:rPr>
          <w:sz w:val="20"/>
        </w:rPr>
      </w:pPr>
      <w:r>
        <w:rPr>
          <w:sz w:val="20"/>
        </w:rPr>
        <w:t>NPAC also requested changes related to the Override NPAC Validation field in PAS (refer to INC Issue 913 and 927).</w:t>
      </w:r>
    </w:p>
    <w:p w14:paraId="26479CE5" w14:textId="77777777" w:rsidR="001B4A8A" w:rsidRPr="006F73A0" w:rsidRDefault="001B4A8A">
      <w:pPr>
        <w:pStyle w:val="BodyText2"/>
        <w:rPr>
          <w:sz w:val="20"/>
        </w:rPr>
      </w:pPr>
    </w:p>
    <w:p w14:paraId="56ABD80C" w14:textId="30C4AD1B" w:rsidR="003B10A4" w:rsidRDefault="00CF7549">
      <w:pPr>
        <w:pStyle w:val="BodyText2"/>
        <w:rPr>
          <w:sz w:val="20"/>
        </w:rPr>
      </w:pPr>
      <w:r>
        <w:rPr>
          <w:sz w:val="20"/>
        </w:rPr>
        <w:t>A</w:t>
      </w:r>
      <w:r w:rsidR="003B10A4" w:rsidRPr="006F73A0">
        <w:rPr>
          <w:sz w:val="20"/>
        </w:rPr>
        <w:t xml:space="preserve">ny changes </w:t>
      </w:r>
      <w:r>
        <w:rPr>
          <w:sz w:val="20"/>
        </w:rPr>
        <w:t xml:space="preserve">impacting </w:t>
      </w:r>
      <w:r w:rsidR="006F73A0" w:rsidRPr="006F73A0">
        <w:rPr>
          <w:sz w:val="20"/>
        </w:rPr>
        <w:t>the</w:t>
      </w:r>
      <w:r w:rsidR="00A56A0D" w:rsidRPr="006F73A0">
        <w:rPr>
          <w:sz w:val="20"/>
        </w:rPr>
        <w:t xml:space="preserve"> TBCO</w:t>
      </w:r>
      <w:r w:rsidR="00DD4FBF" w:rsidRPr="006F73A0">
        <w:rPr>
          <w:sz w:val="20"/>
        </w:rPr>
        <w:t>C</w:t>
      </w:r>
      <w:r w:rsidR="00A56A0D" w:rsidRPr="006F73A0">
        <w:rPr>
          <w:sz w:val="20"/>
        </w:rPr>
        <w:t>AG</w:t>
      </w:r>
      <w:r w:rsidR="006F73A0" w:rsidRPr="006F73A0">
        <w:rPr>
          <w:sz w:val="20"/>
        </w:rPr>
        <w:t xml:space="preserve">, </w:t>
      </w:r>
      <w:r w:rsidR="003336BD">
        <w:rPr>
          <w:sz w:val="20"/>
        </w:rPr>
        <w:t xml:space="preserve">will require </w:t>
      </w:r>
      <w:r w:rsidR="006F73A0" w:rsidRPr="006F73A0">
        <w:rPr>
          <w:sz w:val="20"/>
        </w:rPr>
        <w:t xml:space="preserve">an issue to be submitted to </w:t>
      </w:r>
      <w:r>
        <w:rPr>
          <w:sz w:val="20"/>
        </w:rPr>
        <w:t xml:space="preserve">ATIS </w:t>
      </w:r>
      <w:r w:rsidR="006F73A0" w:rsidRPr="006F73A0">
        <w:rPr>
          <w:sz w:val="20"/>
        </w:rPr>
        <w:t>INC requesting the change.</w:t>
      </w:r>
      <w:r w:rsidR="006F73A0">
        <w:rPr>
          <w:sz w:val="20"/>
        </w:rPr>
        <w:t xml:space="preserve">  </w:t>
      </w:r>
    </w:p>
    <w:p w14:paraId="627B1669" w14:textId="77777777" w:rsidR="003B10A4" w:rsidRPr="00257EF2" w:rsidRDefault="003B10A4">
      <w:pPr>
        <w:pStyle w:val="BodyText2"/>
        <w:rPr>
          <w:sz w:val="20"/>
        </w:rPr>
      </w:pPr>
    </w:p>
    <w:p w14:paraId="47935300" w14:textId="53AA098D" w:rsidR="00281F67" w:rsidRDefault="00281F67">
      <w:pPr>
        <w:rPr>
          <w:sz w:val="24"/>
        </w:rPr>
      </w:pPr>
    </w:p>
    <w:p w14:paraId="3D3D4083" w14:textId="77777777" w:rsidR="00A17A41" w:rsidRDefault="00A17A41">
      <w:pPr>
        <w:rPr>
          <w:sz w:val="24"/>
        </w:rPr>
      </w:pPr>
    </w:p>
    <w:p w14:paraId="79E407BB" w14:textId="77777777" w:rsidR="00F17DA1" w:rsidRDefault="00281F67" w:rsidP="00F17DA1">
      <w:pPr>
        <w:pStyle w:val="BodyText2"/>
        <w:rPr>
          <w:sz w:val="20"/>
        </w:rPr>
      </w:pPr>
      <w:r>
        <w:rPr>
          <w:sz w:val="20"/>
        </w:rPr>
        <w:t xml:space="preserve">F.   Any other descriptive items: </w:t>
      </w:r>
    </w:p>
    <w:p w14:paraId="3C097DE1" w14:textId="570C15AC" w:rsidR="006E54DE" w:rsidRDefault="006E54DE" w:rsidP="00F17DA1">
      <w:pPr>
        <w:pStyle w:val="BodyText2"/>
        <w:rPr>
          <w:b/>
          <w:sz w:val="20"/>
          <w:u w:val="single"/>
        </w:rPr>
      </w:pPr>
    </w:p>
    <w:p w14:paraId="05A85928" w14:textId="5DF432BD" w:rsidR="00030E14" w:rsidRDefault="00030E14" w:rsidP="00F17DA1">
      <w:pPr>
        <w:pStyle w:val="BodyText2"/>
        <w:rPr>
          <w:sz w:val="20"/>
        </w:rPr>
      </w:pPr>
      <w:r>
        <w:rPr>
          <w:bCs/>
          <w:sz w:val="20"/>
        </w:rPr>
        <w:t xml:space="preserve">The new </w:t>
      </w:r>
      <w:r>
        <w:rPr>
          <w:sz w:val="20"/>
        </w:rPr>
        <w:t>NANP Administration System (NAS) is scheduled to go live during 4Q2024</w:t>
      </w:r>
      <w:r w:rsidR="00723781">
        <w:rPr>
          <w:sz w:val="20"/>
        </w:rPr>
        <w:t xml:space="preserve"> and testing of the SOAP API interface between the NPAC and the new system will be available in </w:t>
      </w:r>
      <w:r w:rsidR="00625DBD">
        <w:rPr>
          <w:sz w:val="20"/>
        </w:rPr>
        <w:t>1</w:t>
      </w:r>
      <w:r w:rsidR="00723781">
        <w:rPr>
          <w:sz w:val="20"/>
        </w:rPr>
        <w:t xml:space="preserve">Q2024. </w:t>
      </w:r>
    </w:p>
    <w:p w14:paraId="2CA10F26" w14:textId="39CEDCC7" w:rsidR="0086685E" w:rsidRDefault="0086685E" w:rsidP="00F17DA1">
      <w:pPr>
        <w:pStyle w:val="BodyText2"/>
        <w:rPr>
          <w:sz w:val="20"/>
        </w:rPr>
      </w:pPr>
    </w:p>
    <w:p w14:paraId="4FF88C11" w14:textId="2E552E33" w:rsidR="0086685E" w:rsidRPr="00030E14" w:rsidRDefault="00C12F24" w:rsidP="00F17DA1">
      <w:pPr>
        <w:pStyle w:val="BodyText2"/>
        <w:rPr>
          <w:bCs/>
          <w:sz w:val="20"/>
        </w:rPr>
      </w:pPr>
      <w:r w:rsidRPr="00A102BD">
        <w:rPr>
          <w:sz w:val="20"/>
        </w:rPr>
        <w:t>All Part 1B and Part 5 work items that are in process for all NPAC regions will migrate to the new system</w:t>
      </w:r>
      <w:r w:rsidR="00A102BD" w:rsidRPr="00A102BD">
        <w:rPr>
          <w:sz w:val="20"/>
        </w:rPr>
        <w:t xml:space="preserve"> at the time of cutover</w:t>
      </w:r>
      <w:r w:rsidR="00BD58B1">
        <w:rPr>
          <w:sz w:val="20"/>
        </w:rPr>
        <w:t xml:space="preserve"> to the new system</w:t>
      </w:r>
      <w:r w:rsidRPr="00A102BD">
        <w:rPr>
          <w:sz w:val="20"/>
        </w:rPr>
        <w:t>.</w:t>
      </w:r>
    </w:p>
    <w:p w14:paraId="532EFEC6" w14:textId="77777777" w:rsidR="00412A3B" w:rsidRPr="00600CDD" w:rsidRDefault="00412A3B" w:rsidP="00F17DA1">
      <w:pPr>
        <w:pStyle w:val="BodyText2"/>
        <w:rPr>
          <w:b/>
          <w:sz w:val="20"/>
          <w:u w:val="single"/>
        </w:rPr>
      </w:pPr>
    </w:p>
    <w:p w14:paraId="4CF0CA32" w14:textId="77777777" w:rsidR="00C141A7" w:rsidRDefault="00C141A7">
      <w:pPr>
        <w:rPr>
          <w:sz w:val="24"/>
        </w:rPr>
      </w:pPr>
    </w:p>
    <w:p w14:paraId="4C89B8F4" w14:textId="77777777" w:rsidR="00281F67" w:rsidRDefault="00281F67">
      <w:pPr>
        <w:numPr>
          <w:ilvl w:val="0"/>
          <w:numId w:val="2"/>
        </w:numPr>
        <w:rPr>
          <w:sz w:val="24"/>
        </w:rPr>
      </w:pPr>
      <w:r>
        <w:rPr>
          <w:b/>
          <w:sz w:val="24"/>
        </w:rPr>
        <w:t>Suggested Resolution:</w:t>
      </w:r>
      <w:r>
        <w:rPr>
          <w:sz w:val="24"/>
        </w:rPr>
        <w:t xml:space="preserve"> </w:t>
      </w:r>
    </w:p>
    <w:p w14:paraId="5A894BD8" w14:textId="77777777" w:rsidR="00281F67" w:rsidRDefault="00281F67">
      <w:pPr>
        <w:rPr>
          <w:sz w:val="24"/>
        </w:rPr>
      </w:pPr>
    </w:p>
    <w:p w14:paraId="602F8A30" w14:textId="77777777" w:rsidR="00306219" w:rsidRDefault="00306219">
      <w:pPr>
        <w:pStyle w:val="BodyText3"/>
      </w:pPr>
    </w:p>
    <w:p w14:paraId="5B886F9C" w14:textId="77777777" w:rsidR="002C6633" w:rsidRDefault="002C6633" w:rsidP="002C6633">
      <w:pPr>
        <w:pStyle w:val="BodyText3"/>
      </w:pPr>
      <w:r>
        <w:t>NANPA has agreed to maintain the existing naming convention used today in PAS and in the event a field exceeds the current PAS maximum characters, the new system will truncate the data to fit the new system character maximum. NANPA has also agreed to add the fields that were removed by INC as it relates to INC Issues 913 and 927, these fields will be made optional, and no data will be sent. NANPA has agreed to retain the existing statuses of Optional or Required, where Required, NANPA will send the data. However, the domain name in the Namespace URL will be updated to npac-api.nanpa.com, the references from BYTE to character will remain as is, and the NPAC users will conform to the new system username and password requirements.</w:t>
      </w:r>
    </w:p>
    <w:p w14:paraId="1C2EA6FD" w14:textId="77777777" w:rsidR="002C6633" w:rsidRDefault="002C6633" w:rsidP="002C6633">
      <w:pPr>
        <w:pStyle w:val="BodyText3"/>
      </w:pPr>
      <w:r>
        <w:t xml:space="preserve"> </w:t>
      </w:r>
    </w:p>
    <w:p w14:paraId="026FC95A" w14:textId="44C9004A" w:rsidR="00E116B6" w:rsidRDefault="002C6633" w:rsidP="002C6633">
      <w:pPr>
        <w:pStyle w:val="BodyText3"/>
      </w:pPr>
      <w:r>
        <w:t>NPAC stated that they can accept special characters if sent, so NANPA will send special characters when applicable.</w:t>
      </w:r>
    </w:p>
    <w:p w14:paraId="158C3B3E" w14:textId="77777777" w:rsidR="00281F67" w:rsidRDefault="00281F67">
      <w:pPr>
        <w:rPr>
          <w:sz w:val="24"/>
        </w:rPr>
      </w:pPr>
    </w:p>
    <w:p w14:paraId="3FC9802F" w14:textId="77777777" w:rsidR="00913A91" w:rsidRPr="004F38B9" w:rsidRDefault="00913A91" w:rsidP="00913A91">
      <w:pPr>
        <w:numPr>
          <w:ilvl w:val="0"/>
          <w:numId w:val="2"/>
        </w:numPr>
        <w:rPr>
          <w:b/>
          <w:sz w:val="24"/>
        </w:rPr>
      </w:pPr>
      <w:r w:rsidRPr="004F38B9">
        <w:rPr>
          <w:b/>
          <w:sz w:val="24"/>
        </w:rPr>
        <w:t>Final Resolution:</w:t>
      </w:r>
    </w:p>
    <w:p w14:paraId="30476092" w14:textId="77777777" w:rsidR="00913A91" w:rsidRPr="00913A91" w:rsidRDefault="00913A91" w:rsidP="00913A91">
      <w:pPr>
        <w:ind w:left="360"/>
        <w:rPr>
          <w:color w:val="0070C0"/>
          <w:sz w:val="24"/>
        </w:rPr>
      </w:pPr>
    </w:p>
    <w:p w14:paraId="5C083201" w14:textId="4EB99770" w:rsidR="003346D9" w:rsidRPr="00F60209" w:rsidRDefault="003346D9" w:rsidP="003346D9">
      <w:pPr>
        <w:pStyle w:val="BodyText3"/>
      </w:pPr>
      <w:r>
        <w:t xml:space="preserve">NANPA shall maintain the existing naming convention used today in PAS and in the event a field exceeds the current PAS maximum characters, the new system will truncate the data to fit the new system character maximum. NANPA shall add the fields that were removed by INC as it relates to INC Issues </w:t>
      </w:r>
      <w:r w:rsidR="00805BB2">
        <w:t>897</w:t>
      </w:r>
      <w:r w:rsidR="00080803">
        <w:t xml:space="preserve"> and 940</w:t>
      </w:r>
      <w:r>
        <w:t>, these fields will be made optional, and no data will be sent.</w:t>
      </w:r>
      <w:r w:rsidR="00805BB2">
        <w:t xml:space="preserve"> </w:t>
      </w:r>
      <w:r w:rsidR="00805BB2" w:rsidRPr="001D1684">
        <w:t>Per INC Issues 913 and 927</w:t>
      </w:r>
      <w:r w:rsidR="00805BB2">
        <w:t xml:space="preserve">, NANPA will only send the Part 1B when </w:t>
      </w:r>
      <w:r w:rsidR="00805BB2" w:rsidRPr="00805BB2">
        <w:t xml:space="preserve">the “Override </w:t>
      </w:r>
      <w:r w:rsidR="00805BB2">
        <w:t>SPID and LRN</w:t>
      </w:r>
      <w:r w:rsidR="00805BB2" w:rsidRPr="00805BB2">
        <w:t xml:space="preserve"> Validations”</w:t>
      </w:r>
      <w:r w:rsidR="00182E24">
        <w:t xml:space="preserve"> is set to “N” value</w:t>
      </w:r>
      <w:r w:rsidR="00805BB2" w:rsidRPr="00805BB2">
        <w:t>, “For Information Only”</w:t>
      </w:r>
      <w:r w:rsidR="00182E24">
        <w:t xml:space="preserve"> is set to “N” value</w:t>
      </w:r>
      <w:r w:rsidR="00805BB2" w:rsidRPr="00805BB2">
        <w:t>, and “Is Thousands-Block being allocated back to the Code Holder on the switch where the CO Code resides?” field</w:t>
      </w:r>
      <w:r w:rsidR="00805BB2">
        <w:t xml:space="preserve"> </w:t>
      </w:r>
      <w:r w:rsidR="00182E24">
        <w:t>is</w:t>
      </w:r>
      <w:r w:rsidR="00805BB2">
        <w:t xml:space="preserve"> set to an “N” value. </w:t>
      </w:r>
      <w:r>
        <w:t xml:space="preserve">NANPA shall retain the existing statuses of Optional or Required, where Required, NANPA will send the data. NANPA shall update the domain name in the Namespace URL to npac-api.nanpa.com, update the references from BYTE to character and the </w:t>
      </w:r>
      <w:r w:rsidRPr="00F60209">
        <w:t>NPAC users will conform to the new system username and password requirements.</w:t>
      </w:r>
    </w:p>
    <w:p w14:paraId="41732B54" w14:textId="77777777" w:rsidR="003346D9" w:rsidRPr="00F60209" w:rsidRDefault="003346D9" w:rsidP="003346D9">
      <w:pPr>
        <w:pStyle w:val="BodyText3"/>
      </w:pPr>
      <w:r w:rsidRPr="00F60209">
        <w:t xml:space="preserve"> </w:t>
      </w:r>
    </w:p>
    <w:p w14:paraId="54058CF1" w14:textId="2DBFEFB7" w:rsidR="00A80521" w:rsidRDefault="003346D9" w:rsidP="003346D9">
      <w:pPr>
        <w:pStyle w:val="BodyText3"/>
        <w:rPr>
          <w:sz w:val="24"/>
        </w:rPr>
      </w:pPr>
      <w:r w:rsidRPr="00F60209">
        <w:t xml:space="preserve">NANPA </w:t>
      </w:r>
      <w:r w:rsidR="00F60209" w:rsidRPr="00F60209">
        <w:t xml:space="preserve">shall </w:t>
      </w:r>
      <w:r w:rsidRPr="00F60209">
        <w:t>send special characters when applicable</w:t>
      </w:r>
      <w:r w:rsidR="00F60209" w:rsidRPr="00F60209">
        <w:t xml:space="preserve"> understanding that the NPAC can accept special characters</w:t>
      </w:r>
      <w:r w:rsidRPr="00F60209">
        <w:t>.</w:t>
      </w:r>
    </w:p>
    <w:p w14:paraId="73FCD868" w14:textId="77777777" w:rsidR="00E116B6" w:rsidRDefault="00E116B6" w:rsidP="00A80521">
      <w:pPr>
        <w:pBdr>
          <w:top w:val="single" w:sz="4" w:space="1" w:color="auto"/>
          <w:left w:val="single" w:sz="4" w:space="4" w:color="auto"/>
          <w:bottom w:val="single" w:sz="4" w:space="1" w:color="auto"/>
          <w:right w:val="single" w:sz="4" w:space="4" w:color="auto"/>
          <w:bar w:val="single" w:sz="4" w:color="auto"/>
        </w:pBdr>
        <w:rPr>
          <w:sz w:val="24"/>
        </w:rPr>
      </w:pPr>
    </w:p>
    <w:p w14:paraId="46070C56" w14:textId="77777777" w:rsidR="00913A91" w:rsidRDefault="00913A91">
      <w:pPr>
        <w:rPr>
          <w:sz w:val="24"/>
        </w:rPr>
      </w:pPr>
    </w:p>
    <w:p w14:paraId="17711124"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t>NPIF</w:t>
      </w:r>
      <w:r w:rsidR="00281F67" w:rsidRPr="00D65CE2">
        <w:rPr>
          <w:b/>
          <w:color w:val="002060"/>
          <w:sz w:val="24"/>
          <w:u w:val="double"/>
        </w:rPr>
        <w:t xml:space="preserve"> (only)</w:t>
      </w:r>
    </w:p>
    <w:p w14:paraId="67AB5A02" w14:textId="08ABE8A5"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3B2E71">
        <w:rPr>
          <w:color w:val="002060"/>
          <w:sz w:val="24"/>
        </w:rPr>
        <w:t>147 v3</w:t>
      </w:r>
      <w:r>
        <w:rPr>
          <w:color w:val="002060"/>
          <w:sz w:val="24"/>
        </w:rPr>
        <w:tab/>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r w:rsidR="003B2E71">
        <w:rPr>
          <w:color w:val="002060"/>
          <w:sz w:val="24"/>
        </w:rPr>
        <w:t xml:space="preserve"> 4/12/2023</w:t>
      </w:r>
    </w:p>
    <w:p w14:paraId="33A8E6F4" w14:textId="77777777"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913A91" w:rsidRPr="00D65CE2">
        <w:rPr>
          <w:color w:val="002060"/>
          <w:sz w:val="24"/>
        </w:rPr>
        <w:tab/>
      </w:r>
      <w:r w:rsidR="00913A91" w:rsidRPr="00D65CE2">
        <w:rPr>
          <w:color w:val="002060"/>
          <w:sz w:val="24"/>
        </w:rPr>
        <w:tab/>
      </w:r>
      <w:r w:rsidR="00913A91" w:rsidRPr="00D65CE2">
        <w:rPr>
          <w:color w:val="002060"/>
          <w:sz w:val="24"/>
        </w:rPr>
        <w:tab/>
      </w:r>
    </w:p>
    <w:p w14:paraId="71B0EB84"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2B480EBB"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0669E571" w14:textId="77777777" w:rsidR="00B747B7" w:rsidRPr="00D65CE2"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p w14:paraId="2793DACC"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8"/>
      <w:footerReference w:type="even" r:id="rId9"/>
      <w:footerReference w:type="default" r:id="rId1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C4EB" w14:textId="77777777" w:rsidR="00D12446" w:rsidRDefault="00D12446">
      <w:r>
        <w:separator/>
      </w:r>
    </w:p>
  </w:endnote>
  <w:endnote w:type="continuationSeparator" w:id="0">
    <w:p w14:paraId="4C540CF8" w14:textId="77777777" w:rsidR="00D12446" w:rsidRDefault="00D12446">
      <w:r>
        <w:continuationSeparator/>
      </w:r>
    </w:p>
  </w:endnote>
  <w:endnote w:type="continuationNotice" w:id="1">
    <w:p w14:paraId="57370A8A" w14:textId="77777777" w:rsidR="00D12446" w:rsidRDefault="00D12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D63C"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CD890C"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E339"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425CDDB8"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9C7C" w14:textId="77777777" w:rsidR="00D12446" w:rsidRDefault="00D12446">
      <w:r>
        <w:separator/>
      </w:r>
    </w:p>
  </w:footnote>
  <w:footnote w:type="continuationSeparator" w:id="0">
    <w:p w14:paraId="414B4D4F" w14:textId="77777777" w:rsidR="00D12446" w:rsidRDefault="00D12446">
      <w:r>
        <w:continuationSeparator/>
      </w:r>
    </w:p>
  </w:footnote>
  <w:footnote w:type="continuationNotice" w:id="1">
    <w:p w14:paraId="6DDB51A9" w14:textId="77777777" w:rsidR="00D12446" w:rsidRDefault="00D12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C005"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2"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988095122">
    <w:abstractNumId w:val="4"/>
  </w:num>
  <w:num w:numId="2" w16cid:durableId="293021412">
    <w:abstractNumId w:val="10"/>
  </w:num>
  <w:num w:numId="3" w16cid:durableId="1421559202">
    <w:abstractNumId w:val="1"/>
  </w:num>
  <w:num w:numId="4" w16cid:durableId="1678074427">
    <w:abstractNumId w:val="9"/>
  </w:num>
  <w:num w:numId="5" w16cid:durableId="656346523">
    <w:abstractNumId w:val="5"/>
  </w:num>
  <w:num w:numId="6" w16cid:durableId="75981625">
    <w:abstractNumId w:val="0"/>
  </w:num>
  <w:num w:numId="7" w16cid:durableId="1755661546">
    <w:abstractNumId w:val="8"/>
  </w:num>
  <w:num w:numId="8" w16cid:durableId="1604417314">
    <w:abstractNumId w:val="3"/>
  </w:num>
  <w:num w:numId="9" w16cid:durableId="1999840950">
    <w:abstractNumId w:val="6"/>
  </w:num>
  <w:num w:numId="10" w16cid:durableId="2025135074">
    <w:abstractNumId w:val="2"/>
  </w:num>
  <w:num w:numId="11" w16cid:durableId="1423719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11EF"/>
    <w:rsid w:val="00014278"/>
    <w:rsid w:val="00015134"/>
    <w:rsid w:val="00015536"/>
    <w:rsid w:val="000161BF"/>
    <w:rsid w:val="00030B58"/>
    <w:rsid w:val="00030E14"/>
    <w:rsid w:val="0003562F"/>
    <w:rsid w:val="00035A81"/>
    <w:rsid w:val="00051B61"/>
    <w:rsid w:val="0006282D"/>
    <w:rsid w:val="000628C3"/>
    <w:rsid w:val="00063D58"/>
    <w:rsid w:val="00066FB5"/>
    <w:rsid w:val="00080803"/>
    <w:rsid w:val="00081D81"/>
    <w:rsid w:val="00081E38"/>
    <w:rsid w:val="000841D4"/>
    <w:rsid w:val="000870ED"/>
    <w:rsid w:val="0009434D"/>
    <w:rsid w:val="000A330E"/>
    <w:rsid w:val="000A47C3"/>
    <w:rsid w:val="000B428A"/>
    <w:rsid w:val="000B54AE"/>
    <w:rsid w:val="000C16CD"/>
    <w:rsid w:val="000C56EF"/>
    <w:rsid w:val="000C58C0"/>
    <w:rsid w:val="000C727E"/>
    <w:rsid w:val="000D5ABF"/>
    <w:rsid w:val="0011408E"/>
    <w:rsid w:val="00116A76"/>
    <w:rsid w:val="00121E03"/>
    <w:rsid w:val="00122384"/>
    <w:rsid w:val="00131143"/>
    <w:rsid w:val="00134E71"/>
    <w:rsid w:val="00145BB3"/>
    <w:rsid w:val="00145C64"/>
    <w:rsid w:val="00151109"/>
    <w:rsid w:val="001536B1"/>
    <w:rsid w:val="00154331"/>
    <w:rsid w:val="001548E5"/>
    <w:rsid w:val="0015667B"/>
    <w:rsid w:val="0018288F"/>
    <w:rsid w:val="00182E24"/>
    <w:rsid w:val="00185A80"/>
    <w:rsid w:val="00186E91"/>
    <w:rsid w:val="001936C0"/>
    <w:rsid w:val="00195B4E"/>
    <w:rsid w:val="001A1A5E"/>
    <w:rsid w:val="001A3888"/>
    <w:rsid w:val="001A68D0"/>
    <w:rsid w:val="001A7515"/>
    <w:rsid w:val="001B4A8A"/>
    <w:rsid w:val="001B569F"/>
    <w:rsid w:val="001C082F"/>
    <w:rsid w:val="001C2986"/>
    <w:rsid w:val="001C4610"/>
    <w:rsid w:val="001C7427"/>
    <w:rsid w:val="001D1684"/>
    <w:rsid w:val="001E3101"/>
    <w:rsid w:val="001E5764"/>
    <w:rsid w:val="00204BD5"/>
    <w:rsid w:val="00210094"/>
    <w:rsid w:val="002108DE"/>
    <w:rsid w:val="00216184"/>
    <w:rsid w:val="002171A6"/>
    <w:rsid w:val="002212C5"/>
    <w:rsid w:val="0022387C"/>
    <w:rsid w:val="00224BFD"/>
    <w:rsid w:val="0022720C"/>
    <w:rsid w:val="0024100E"/>
    <w:rsid w:val="0025574E"/>
    <w:rsid w:val="00257EF2"/>
    <w:rsid w:val="00260AE0"/>
    <w:rsid w:val="0026268C"/>
    <w:rsid w:val="00280E29"/>
    <w:rsid w:val="00281F67"/>
    <w:rsid w:val="002A4C42"/>
    <w:rsid w:val="002A6F04"/>
    <w:rsid w:val="002A7914"/>
    <w:rsid w:val="002B2AE1"/>
    <w:rsid w:val="002B647C"/>
    <w:rsid w:val="002C3A8F"/>
    <w:rsid w:val="002C6633"/>
    <w:rsid w:val="002E5188"/>
    <w:rsid w:val="002F3060"/>
    <w:rsid w:val="002F3ABC"/>
    <w:rsid w:val="002F3E9A"/>
    <w:rsid w:val="002F44A1"/>
    <w:rsid w:val="00300460"/>
    <w:rsid w:val="00300D55"/>
    <w:rsid w:val="00306219"/>
    <w:rsid w:val="0031054B"/>
    <w:rsid w:val="0031113B"/>
    <w:rsid w:val="003171D8"/>
    <w:rsid w:val="003204D9"/>
    <w:rsid w:val="003229E3"/>
    <w:rsid w:val="00330EED"/>
    <w:rsid w:val="003326CD"/>
    <w:rsid w:val="003336BD"/>
    <w:rsid w:val="003344A8"/>
    <w:rsid w:val="003346D9"/>
    <w:rsid w:val="00337B71"/>
    <w:rsid w:val="0034436C"/>
    <w:rsid w:val="00346051"/>
    <w:rsid w:val="003460CF"/>
    <w:rsid w:val="00347396"/>
    <w:rsid w:val="00352941"/>
    <w:rsid w:val="00354082"/>
    <w:rsid w:val="0035496D"/>
    <w:rsid w:val="003573D2"/>
    <w:rsid w:val="0036076E"/>
    <w:rsid w:val="003659F2"/>
    <w:rsid w:val="00370673"/>
    <w:rsid w:val="0037170E"/>
    <w:rsid w:val="00371E3E"/>
    <w:rsid w:val="00372068"/>
    <w:rsid w:val="00374B9F"/>
    <w:rsid w:val="003862F0"/>
    <w:rsid w:val="003A0FDF"/>
    <w:rsid w:val="003B10A4"/>
    <w:rsid w:val="003B2E71"/>
    <w:rsid w:val="003C1C0E"/>
    <w:rsid w:val="003C3535"/>
    <w:rsid w:val="003D0EFF"/>
    <w:rsid w:val="003D5498"/>
    <w:rsid w:val="003E16E5"/>
    <w:rsid w:val="003E2319"/>
    <w:rsid w:val="003F7544"/>
    <w:rsid w:val="004116B9"/>
    <w:rsid w:val="00412A3B"/>
    <w:rsid w:val="00415AE4"/>
    <w:rsid w:val="00415B72"/>
    <w:rsid w:val="00417A65"/>
    <w:rsid w:val="00422B79"/>
    <w:rsid w:val="00437CC9"/>
    <w:rsid w:val="00437DB6"/>
    <w:rsid w:val="004415C2"/>
    <w:rsid w:val="00441629"/>
    <w:rsid w:val="00442ADD"/>
    <w:rsid w:val="004446A2"/>
    <w:rsid w:val="00444E26"/>
    <w:rsid w:val="00446F03"/>
    <w:rsid w:val="00453C0A"/>
    <w:rsid w:val="00453EAA"/>
    <w:rsid w:val="004561C3"/>
    <w:rsid w:val="004562A8"/>
    <w:rsid w:val="004562FE"/>
    <w:rsid w:val="004608A1"/>
    <w:rsid w:val="00464426"/>
    <w:rsid w:val="0047382B"/>
    <w:rsid w:val="00474C1E"/>
    <w:rsid w:val="00474D22"/>
    <w:rsid w:val="00476277"/>
    <w:rsid w:val="004800C1"/>
    <w:rsid w:val="00483F86"/>
    <w:rsid w:val="00484D3E"/>
    <w:rsid w:val="00492898"/>
    <w:rsid w:val="004A121B"/>
    <w:rsid w:val="004A2BF2"/>
    <w:rsid w:val="004A390A"/>
    <w:rsid w:val="004A3C1E"/>
    <w:rsid w:val="004A44B9"/>
    <w:rsid w:val="004B0EA2"/>
    <w:rsid w:val="004B3699"/>
    <w:rsid w:val="004B4809"/>
    <w:rsid w:val="004C30C6"/>
    <w:rsid w:val="004C4A7F"/>
    <w:rsid w:val="004C623F"/>
    <w:rsid w:val="004C7622"/>
    <w:rsid w:val="004D14AF"/>
    <w:rsid w:val="004D1512"/>
    <w:rsid w:val="004D4692"/>
    <w:rsid w:val="004E3A96"/>
    <w:rsid w:val="004E5BAA"/>
    <w:rsid w:val="004E7A69"/>
    <w:rsid w:val="004F38B9"/>
    <w:rsid w:val="004F60A5"/>
    <w:rsid w:val="00502F7C"/>
    <w:rsid w:val="00503454"/>
    <w:rsid w:val="0050353A"/>
    <w:rsid w:val="005079E2"/>
    <w:rsid w:val="00510707"/>
    <w:rsid w:val="0051319E"/>
    <w:rsid w:val="00513FA8"/>
    <w:rsid w:val="00517CCB"/>
    <w:rsid w:val="005209A1"/>
    <w:rsid w:val="00530DFF"/>
    <w:rsid w:val="0053363B"/>
    <w:rsid w:val="00533B50"/>
    <w:rsid w:val="00537F06"/>
    <w:rsid w:val="00541757"/>
    <w:rsid w:val="00546812"/>
    <w:rsid w:val="00547657"/>
    <w:rsid w:val="005511C4"/>
    <w:rsid w:val="00551757"/>
    <w:rsid w:val="0055444B"/>
    <w:rsid w:val="005565E9"/>
    <w:rsid w:val="00560C80"/>
    <w:rsid w:val="005622D6"/>
    <w:rsid w:val="00562B16"/>
    <w:rsid w:val="00565B84"/>
    <w:rsid w:val="005768D1"/>
    <w:rsid w:val="00582722"/>
    <w:rsid w:val="005869EA"/>
    <w:rsid w:val="005A2C73"/>
    <w:rsid w:val="005A61A9"/>
    <w:rsid w:val="005B655C"/>
    <w:rsid w:val="005C5142"/>
    <w:rsid w:val="005C7BEB"/>
    <w:rsid w:val="005D4762"/>
    <w:rsid w:val="005D5537"/>
    <w:rsid w:val="005E0106"/>
    <w:rsid w:val="005E6879"/>
    <w:rsid w:val="00600CDD"/>
    <w:rsid w:val="00611493"/>
    <w:rsid w:val="006138FF"/>
    <w:rsid w:val="0062569C"/>
    <w:rsid w:val="00625DBD"/>
    <w:rsid w:val="00633C46"/>
    <w:rsid w:val="006348D4"/>
    <w:rsid w:val="006374AD"/>
    <w:rsid w:val="00640982"/>
    <w:rsid w:val="006415F8"/>
    <w:rsid w:val="00641B71"/>
    <w:rsid w:val="0065135C"/>
    <w:rsid w:val="00655C1D"/>
    <w:rsid w:val="00655DBB"/>
    <w:rsid w:val="00670246"/>
    <w:rsid w:val="00675A29"/>
    <w:rsid w:val="006811ED"/>
    <w:rsid w:val="00682CB4"/>
    <w:rsid w:val="00683644"/>
    <w:rsid w:val="00684AE4"/>
    <w:rsid w:val="00687276"/>
    <w:rsid w:val="006B52D5"/>
    <w:rsid w:val="006B6D23"/>
    <w:rsid w:val="006C1EA7"/>
    <w:rsid w:val="006D0C80"/>
    <w:rsid w:val="006D6A82"/>
    <w:rsid w:val="006E54DE"/>
    <w:rsid w:val="006E63B6"/>
    <w:rsid w:val="006F4058"/>
    <w:rsid w:val="006F623B"/>
    <w:rsid w:val="006F73A0"/>
    <w:rsid w:val="00702669"/>
    <w:rsid w:val="00710B6A"/>
    <w:rsid w:val="00711774"/>
    <w:rsid w:val="007150F7"/>
    <w:rsid w:val="007203B0"/>
    <w:rsid w:val="00721650"/>
    <w:rsid w:val="007232D9"/>
    <w:rsid w:val="00723781"/>
    <w:rsid w:val="00724C3A"/>
    <w:rsid w:val="00725E0A"/>
    <w:rsid w:val="00743C49"/>
    <w:rsid w:val="00746ED5"/>
    <w:rsid w:val="0075540D"/>
    <w:rsid w:val="007559E6"/>
    <w:rsid w:val="00757E21"/>
    <w:rsid w:val="007626BA"/>
    <w:rsid w:val="00764798"/>
    <w:rsid w:val="00765938"/>
    <w:rsid w:val="007669C5"/>
    <w:rsid w:val="00766A24"/>
    <w:rsid w:val="00771C7E"/>
    <w:rsid w:val="0077467C"/>
    <w:rsid w:val="00777A17"/>
    <w:rsid w:val="007829A7"/>
    <w:rsid w:val="00782D5A"/>
    <w:rsid w:val="0078713F"/>
    <w:rsid w:val="0079011C"/>
    <w:rsid w:val="00796AA5"/>
    <w:rsid w:val="007A3026"/>
    <w:rsid w:val="007A6119"/>
    <w:rsid w:val="007A6F81"/>
    <w:rsid w:val="007B3951"/>
    <w:rsid w:val="007B5132"/>
    <w:rsid w:val="007C5589"/>
    <w:rsid w:val="007D0CD7"/>
    <w:rsid w:val="007E074E"/>
    <w:rsid w:val="007E7DBC"/>
    <w:rsid w:val="007F5624"/>
    <w:rsid w:val="00805BB2"/>
    <w:rsid w:val="00811768"/>
    <w:rsid w:val="008139A6"/>
    <w:rsid w:val="00813A94"/>
    <w:rsid w:val="0081561E"/>
    <w:rsid w:val="008307C3"/>
    <w:rsid w:val="00833B2B"/>
    <w:rsid w:val="00834C1D"/>
    <w:rsid w:val="0083598C"/>
    <w:rsid w:val="008400C1"/>
    <w:rsid w:val="00846D52"/>
    <w:rsid w:val="00847686"/>
    <w:rsid w:val="00850086"/>
    <w:rsid w:val="00862232"/>
    <w:rsid w:val="0086685E"/>
    <w:rsid w:val="0087167B"/>
    <w:rsid w:val="00876FC8"/>
    <w:rsid w:val="008775A3"/>
    <w:rsid w:val="00886D22"/>
    <w:rsid w:val="0089101E"/>
    <w:rsid w:val="00891626"/>
    <w:rsid w:val="00892EE7"/>
    <w:rsid w:val="008A2443"/>
    <w:rsid w:val="008A2B11"/>
    <w:rsid w:val="008B0350"/>
    <w:rsid w:val="008B1633"/>
    <w:rsid w:val="008B20C3"/>
    <w:rsid w:val="008B3122"/>
    <w:rsid w:val="008B3CA9"/>
    <w:rsid w:val="008B4F60"/>
    <w:rsid w:val="008B6818"/>
    <w:rsid w:val="008C19D8"/>
    <w:rsid w:val="008C23E1"/>
    <w:rsid w:val="008C5A62"/>
    <w:rsid w:val="008E4273"/>
    <w:rsid w:val="008E5669"/>
    <w:rsid w:val="008E6752"/>
    <w:rsid w:val="008F6CA8"/>
    <w:rsid w:val="00905BA4"/>
    <w:rsid w:val="009104A5"/>
    <w:rsid w:val="00913A91"/>
    <w:rsid w:val="00922824"/>
    <w:rsid w:val="00924312"/>
    <w:rsid w:val="00935380"/>
    <w:rsid w:val="00937D3A"/>
    <w:rsid w:val="00962104"/>
    <w:rsid w:val="00972443"/>
    <w:rsid w:val="00973896"/>
    <w:rsid w:val="0097484E"/>
    <w:rsid w:val="009821DE"/>
    <w:rsid w:val="0099315E"/>
    <w:rsid w:val="00997D2A"/>
    <w:rsid w:val="009A3FDA"/>
    <w:rsid w:val="009A6576"/>
    <w:rsid w:val="009A6F2A"/>
    <w:rsid w:val="009B3B8A"/>
    <w:rsid w:val="009C3970"/>
    <w:rsid w:val="009E6F8E"/>
    <w:rsid w:val="009F1E2D"/>
    <w:rsid w:val="009F1FDF"/>
    <w:rsid w:val="009F5355"/>
    <w:rsid w:val="00A01F43"/>
    <w:rsid w:val="00A04B52"/>
    <w:rsid w:val="00A102BD"/>
    <w:rsid w:val="00A1613B"/>
    <w:rsid w:val="00A17A41"/>
    <w:rsid w:val="00A27F46"/>
    <w:rsid w:val="00A31915"/>
    <w:rsid w:val="00A32668"/>
    <w:rsid w:val="00A34D21"/>
    <w:rsid w:val="00A34FA2"/>
    <w:rsid w:val="00A367DE"/>
    <w:rsid w:val="00A534CC"/>
    <w:rsid w:val="00A56A0D"/>
    <w:rsid w:val="00A6102E"/>
    <w:rsid w:val="00A654CC"/>
    <w:rsid w:val="00A67B88"/>
    <w:rsid w:val="00A718EA"/>
    <w:rsid w:val="00A80521"/>
    <w:rsid w:val="00A92628"/>
    <w:rsid w:val="00A92A53"/>
    <w:rsid w:val="00AA1444"/>
    <w:rsid w:val="00AB3098"/>
    <w:rsid w:val="00AB4BEB"/>
    <w:rsid w:val="00AB4F4D"/>
    <w:rsid w:val="00AB7574"/>
    <w:rsid w:val="00AB7D35"/>
    <w:rsid w:val="00AC4B25"/>
    <w:rsid w:val="00AC6C2D"/>
    <w:rsid w:val="00AD0742"/>
    <w:rsid w:val="00AD3265"/>
    <w:rsid w:val="00AD34DF"/>
    <w:rsid w:val="00AD6BAB"/>
    <w:rsid w:val="00AE146F"/>
    <w:rsid w:val="00AE3F6E"/>
    <w:rsid w:val="00AF3494"/>
    <w:rsid w:val="00AF4878"/>
    <w:rsid w:val="00AF5566"/>
    <w:rsid w:val="00AF761C"/>
    <w:rsid w:val="00B104E0"/>
    <w:rsid w:val="00B14222"/>
    <w:rsid w:val="00B143D6"/>
    <w:rsid w:val="00B1558D"/>
    <w:rsid w:val="00B159A7"/>
    <w:rsid w:val="00B16D3B"/>
    <w:rsid w:val="00B20779"/>
    <w:rsid w:val="00B23017"/>
    <w:rsid w:val="00B26708"/>
    <w:rsid w:val="00B40F8C"/>
    <w:rsid w:val="00B42DB8"/>
    <w:rsid w:val="00B5340F"/>
    <w:rsid w:val="00B616D9"/>
    <w:rsid w:val="00B7460A"/>
    <w:rsid w:val="00B747B7"/>
    <w:rsid w:val="00B7537D"/>
    <w:rsid w:val="00B7545B"/>
    <w:rsid w:val="00B76F0D"/>
    <w:rsid w:val="00B82E6A"/>
    <w:rsid w:val="00B853F9"/>
    <w:rsid w:val="00B94A0B"/>
    <w:rsid w:val="00B97EC2"/>
    <w:rsid w:val="00BA7154"/>
    <w:rsid w:val="00BB0410"/>
    <w:rsid w:val="00BB27AA"/>
    <w:rsid w:val="00BB7EC9"/>
    <w:rsid w:val="00BC2499"/>
    <w:rsid w:val="00BC3E9B"/>
    <w:rsid w:val="00BC4B23"/>
    <w:rsid w:val="00BD0B37"/>
    <w:rsid w:val="00BD285E"/>
    <w:rsid w:val="00BD4651"/>
    <w:rsid w:val="00BD58B1"/>
    <w:rsid w:val="00BD7B5A"/>
    <w:rsid w:val="00BE3AA6"/>
    <w:rsid w:val="00C056FE"/>
    <w:rsid w:val="00C12BFE"/>
    <w:rsid w:val="00C12F24"/>
    <w:rsid w:val="00C141A7"/>
    <w:rsid w:val="00C17B1E"/>
    <w:rsid w:val="00C20F56"/>
    <w:rsid w:val="00C3115B"/>
    <w:rsid w:val="00C41C85"/>
    <w:rsid w:val="00C42E70"/>
    <w:rsid w:val="00C43174"/>
    <w:rsid w:val="00C55DEA"/>
    <w:rsid w:val="00C57E76"/>
    <w:rsid w:val="00C6121D"/>
    <w:rsid w:val="00C7240A"/>
    <w:rsid w:val="00C75DD2"/>
    <w:rsid w:val="00C84E1B"/>
    <w:rsid w:val="00C85DE3"/>
    <w:rsid w:val="00C94648"/>
    <w:rsid w:val="00CA560F"/>
    <w:rsid w:val="00CA60C4"/>
    <w:rsid w:val="00CB0F5C"/>
    <w:rsid w:val="00CB1A5C"/>
    <w:rsid w:val="00CB397B"/>
    <w:rsid w:val="00CC3A53"/>
    <w:rsid w:val="00CD0697"/>
    <w:rsid w:val="00CD46D6"/>
    <w:rsid w:val="00CD789A"/>
    <w:rsid w:val="00CE4C62"/>
    <w:rsid w:val="00CF094B"/>
    <w:rsid w:val="00CF50C7"/>
    <w:rsid w:val="00CF7549"/>
    <w:rsid w:val="00D004A6"/>
    <w:rsid w:val="00D01336"/>
    <w:rsid w:val="00D015EF"/>
    <w:rsid w:val="00D05B05"/>
    <w:rsid w:val="00D12446"/>
    <w:rsid w:val="00D17291"/>
    <w:rsid w:val="00D2003D"/>
    <w:rsid w:val="00D25AB5"/>
    <w:rsid w:val="00D26346"/>
    <w:rsid w:val="00D26870"/>
    <w:rsid w:val="00D31D4E"/>
    <w:rsid w:val="00D32580"/>
    <w:rsid w:val="00D33777"/>
    <w:rsid w:val="00D34422"/>
    <w:rsid w:val="00D353D6"/>
    <w:rsid w:val="00D41312"/>
    <w:rsid w:val="00D41C7B"/>
    <w:rsid w:val="00D4478F"/>
    <w:rsid w:val="00D5102B"/>
    <w:rsid w:val="00D5179D"/>
    <w:rsid w:val="00D625B5"/>
    <w:rsid w:val="00D65CE2"/>
    <w:rsid w:val="00D754B7"/>
    <w:rsid w:val="00D75CD6"/>
    <w:rsid w:val="00D84164"/>
    <w:rsid w:val="00D8546B"/>
    <w:rsid w:val="00D91678"/>
    <w:rsid w:val="00D91AF2"/>
    <w:rsid w:val="00DA055F"/>
    <w:rsid w:val="00DB181F"/>
    <w:rsid w:val="00DC2582"/>
    <w:rsid w:val="00DC343F"/>
    <w:rsid w:val="00DC414D"/>
    <w:rsid w:val="00DC4534"/>
    <w:rsid w:val="00DC6828"/>
    <w:rsid w:val="00DC732E"/>
    <w:rsid w:val="00DD2265"/>
    <w:rsid w:val="00DD451A"/>
    <w:rsid w:val="00DD4FBF"/>
    <w:rsid w:val="00DD7694"/>
    <w:rsid w:val="00DE0202"/>
    <w:rsid w:val="00DE12CF"/>
    <w:rsid w:val="00DE6660"/>
    <w:rsid w:val="00DE6A7F"/>
    <w:rsid w:val="00DF6452"/>
    <w:rsid w:val="00DF69E1"/>
    <w:rsid w:val="00DF7A12"/>
    <w:rsid w:val="00E05456"/>
    <w:rsid w:val="00E116B6"/>
    <w:rsid w:val="00E20AAD"/>
    <w:rsid w:val="00E25EC4"/>
    <w:rsid w:val="00E2629C"/>
    <w:rsid w:val="00E2712D"/>
    <w:rsid w:val="00E35246"/>
    <w:rsid w:val="00E356CB"/>
    <w:rsid w:val="00E565EA"/>
    <w:rsid w:val="00E625B8"/>
    <w:rsid w:val="00E63114"/>
    <w:rsid w:val="00E70A71"/>
    <w:rsid w:val="00E728FE"/>
    <w:rsid w:val="00E80274"/>
    <w:rsid w:val="00E80D4E"/>
    <w:rsid w:val="00E8482E"/>
    <w:rsid w:val="00E84C55"/>
    <w:rsid w:val="00E91435"/>
    <w:rsid w:val="00EA1822"/>
    <w:rsid w:val="00EA3AB8"/>
    <w:rsid w:val="00EA7C64"/>
    <w:rsid w:val="00EB42E0"/>
    <w:rsid w:val="00ED1CD2"/>
    <w:rsid w:val="00ED3DEE"/>
    <w:rsid w:val="00ED6303"/>
    <w:rsid w:val="00ED6D8F"/>
    <w:rsid w:val="00EE4DE1"/>
    <w:rsid w:val="00EE6A0B"/>
    <w:rsid w:val="00EF07F4"/>
    <w:rsid w:val="00EF7C65"/>
    <w:rsid w:val="00F02BA7"/>
    <w:rsid w:val="00F06A49"/>
    <w:rsid w:val="00F163C0"/>
    <w:rsid w:val="00F179E5"/>
    <w:rsid w:val="00F17DA1"/>
    <w:rsid w:val="00F17FA1"/>
    <w:rsid w:val="00F26353"/>
    <w:rsid w:val="00F27983"/>
    <w:rsid w:val="00F40DEE"/>
    <w:rsid w:val="00F45332"/>
    <w:rsid w:val="00F463B7"/>
    <w:rsid w:val="00F5197E"/>
    <w:rsid w:val="00F55DB9"/>
    <w:rsid w:val="00F60209"/>
    <w:rsid w:val="00F60481"/>
    <w:rsid w:val="00F62328"/>
    <w:rsid w:val="00F65283"/>
    <w:rsid w:val="00F660A1"/>
    <w:rsid w:val="00F72FA9"/>
    <w:rsid w:val="00F87909"/>
    <w:rsid w:val="00F91AFE"/>
    <w:rsid w:val="00F941B8"/>
    <w:rsid w:val="00F962F3"/>
    <w:rsid w:val="00FA5CD9"/>
    <w:rsid w:val="00FB35C6"/>
    <w:rsid w:val="00FB4388"/>
    <w:rsid w:val="00FB6FB0"/>
    <w:rsid w:val="00FC0889"/>
    <w:rsid w:val="00FC19CA"/>
    <w:rsid w:val="00FC3CA7"/>
    <w:rsid w:val="00FC7F59"/>
    <w:rsid w:val="00FD4720"/>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70570"/>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character" w:styleId="Hyperlink">
    <w:name w:val="Hyperlink"/>
    <w:basedOn w:val="DefaultParagraphFont"/>
    <w:uiPriority w:val="99"/>
    <w:unhideWhenUsed/>
    <w:rsid w:val="001E3101"/>
    <w:rPr>
      <w:color w:val="0563C1" w:themeColor="hyperlink"/>
      <w:u w:val="single"/>
    </w:rPr>
  </w:style>
  <w:style w:type="character" w:styleId="UnresolvedMention">
    <w:name w:val="Unresolved Mention"/>
    <w:basedOn w:val="DefaultParagraphFont"/>
    <w:uiPriority w:val="99"/>
    <w:semiHidden/>
    <w:unhideWhenUsed/>
    <w:rsid w:val="001E3101"/>
    <w:rPr>
      <w:color w:val="605E5C"/>
      <w:shd w:val="clear" w:color="auto" w:fill="E1DFDD"/>
    </w:rPr>
  </w:style>
  <w:style w:type="paragraph" w:styleId="Revision">
    <w:name w:val="Revision"/>
    <w:hidden/>
    <w:uiPriority w:val="99"/>
    <w:semiHidden/>
    <w:rsid w:val="00DC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4967">
      <w:bodyDiv w:val="1"/>
      <w:marLeft w:val="0"/>
      <w:marRight w:val="0"/>
      <w:marTop w:val="0"/>
      <w:marBottom w:val="0"/>
      <w:divBdr>
        <w:top w:val="none" w:sz="0" w:space="0" w:color="auto"/>
        <w:left w:val="none" w:sz="0" w:space="0" w:color="auto"/>
        <w:bottom w:val="none" w:sz="0" w:space="0" w:color="auto"/>
        <w:right w:val="none" w:sz="0" w:space="0" w:color="auto"/>
      </w:divBdr>
    </w:div>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639111868">
      <w:bodyDiv w:val="1"/>
      <w:marLeft w:val="0"/>
      <w:marRight w:val="0"/>
      <w:marTop w:val="0"/>
      <w:marBottom w:val="0"/>
      <w:divBdr>
        <w:top w:val="none" w:sz="0" w:space="0" w:color="auto"/>
        <w:left w:val="none" w:sz="0" w:space="0" w:color="auto"/>
        <w:bottom w:val="none" w:sz="0" w:space="0" w:color="auto"/>
        <w:right w:val="none" w:sz="0" w:space="0" w:color="auto"/>
      </w:divBdr>
    </w:div>
    <w:div w:id="801537933">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01128458">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weber@nanp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2117</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LNP Problem Identification and Description Form</vt:lpstr>
    </vt:vector>
  </TitlesOfParts>
  <Company>Sprint-Internal Use Only</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Problem Identification and Description Form</dc:title>
  <dc:subject/>
  <dc:creator>Michael Doherty</dc:creator>
  <cp:keywords/>
  <cp:lastModifiedBy>Doherty, Michael</cp:lastModifiedBy>
  <cp:revision>2</cp:revision>
  <cp:lastPrinted>1999-05-19T19:58:00Z</cp:lastPrinted>
  <dcterms:created xsi:type="dcterms:W3CDTF">2023-04-19T20:37:00Z</dcterms:created>
  <dcterms:modified xsi:type="dcterms:W3CDTF">2023-04-19T20:37:00Z</dcterms:modified>
</cp:coreProperties>
</file>