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CAC" w:rsidRDefault="00606FA8">
      <w:pPr>
        <w:pStyle w:val="Title"/>
        <w:shd w:val="clear" w:color="auto" w:fill="C0C0C0"/>
      </w:pPr>
      <w:bookmarkStart w:id="0" w:name="_GoBack"/>
      <w:bookmarkEnd w:id="0"/>
      <w:r>
        <w:t>LNP Problem/Issue Identification and Description Form</w:t>
      </w:r>
    </w:p>
    <w:p w:rsidR="00D12CAC" w:rsidRDefault="00D12CAC">
      <w:pPr>
        <w:rPr>
          <w:sz w:val="24"/>
        </w:rPr>
      </w:pPr>
    </w:p>
    <w:p w:rsidR="00D12CAC" w:rsidRDefault="00D12CAC">
      <w:pPr>
        <w:rPr>
          <w:sz w:val="24"/>
        </w:rPr>
      </w:pPr>
    </w:p>
    <w:p w:rsidR="00D12CAC" w:rsidRDefault="00606FA8">
      <w:pPr>
        <w:pBdr>
          <w:top w:val="single" w:sz="4" w:space="1" w:color="auto"/>
          <w:left w:val="single" w:sz="4" w:space="4" w:color="auto"/>
          <w:bottom w:val="single" w:sz="4" w:space="1" w:color="auto"/>
          <w:right w:val="single" w:sz="4" w:space="4" w:color="auto"/>
        </w:pBdr>
        <w:rPr>
          <w:sz w:val="24"/>
        </w:rPr>
      </w:pPr>
      <w:r>
        <w:rPr>
          <w:b/>
          <w:sz w:val="24"/>
        </w:rPr>
        <w:t>Submittal Date</w:t>
      </w:r>
      <w:r>
        <w:rPr>
          <w:sz w:val="24"/>
        </w:rPr>
        <w:t xml:space="preserve"> (mm/</w:t>
      </w:r>
      <w:proofErr w:type="spellStart"/>
      <w:r>
        <w:rPr>
          <w:sz w:val="24"/>
        </w:rPr>
        <w:t>dd</w:t>
      </w:r>
      <w:proofErr w:type="spellEnd"/>
      <w:r>
        <w:rPr>
          <w:sz w:val="24"/>
        </w:rPr>
        <w:t>/</w:t>
      </w:r>
      <w:proofErr w:type="spellStart"/>
      <w:r>
        <w:rPr>
          <w:sz w:val="24"/>
        </w:rPr>
        <w:t>yyyy</w:t>
      </w:r>
      <w:proofErr w:type="spellEnd"/>
      <w:r>
        <w:rPr>
          <w:sz w:val="24"/>
        </w:rPr>
        <w:t>):  02/19/2003</w:t>
      </w:r>
      <w:r w:rsidR="00376318">
        <w:rPr>
          <w:sz w:val="24"/>
        </w:rPr>
        <w:tab/>
      </w:r>
      <w:r w:rsidR="00376318">
        <w:rPr>
          <w:sz w:val="24"/>
        </w:rPr>
        <w:tab/>
      </w:r>
      <w:r w:rsidR="00376318">
        <w:rPr>
          <w:sz w:val="24"/>
        </w:rPr>
        <w:tab/>
      </w:r>
      <w:r w:rsidR="00376318">
        <w:rPr>
          <w:sz w:val="24"/>
        </w:rPr>
        <w:tab/>
      </w:r>
      <w:r w:rsidR="00376318" w:rsidRPr="00376318">
        <w:rPr>
          <w:b/>
          <w:sz w:val="24"/>
        </w:rPr>
        <w:t>PIM 023 v2</w:t>
      </w:r>
    </w:p>
    <w:p w:rsidR="00D12CAC" w:rsidRDefault="00606FA8">
      <w:pPr>
        <w:pBdr>
          <w:top w:val="single" w:sz="4" w:space="1" w:color="auto"/>
          <w:left w:val="single" w:sz="4" w:space="4" w:color="auto"/>
          <w:bottom w:val="single" w:sz="4" w:space="1" w:color="auto"/>
          <w:right w:val="single" w:sz="4" w:space="4" w:color="auto"/>
        </w:pBdr>
        <w:rPr>
          <w:sz w:val="24"/>
        </w:rPr>
      </w:pPr>
      <w:r>
        <w:rPr>
          <w:b/>
          <w:sz w:val="24"/>
        </w:rPr>
        <w:t>Company(s) Submitting Issue</w:t>
      </w:r>
      <w:r>
        <w:rPr>
          <w:sz w:val="24"/>
        </w:rPr>
        <w:t>:  1) Telcordia; 2) Sprint; 3) T-Mobile</w:t>
      </w:r>
    </w:p>
    <w:p w:rsidR="00D12CAC" w:rsidRDefault="00606FA8">
      <w:pPr>
        <w:pBdr>
          <w:top w:val="single" w:sz="4" w:space="1" w:color="auto"/>
          <w:left w:val="single" w:sz="4" w:space="4" w:color="auto"/>
          <w:bottom w:val="single" w:sz="4" w:space="1" w:color="auto"/>
          <w:right w:val="single" w:sz="4" w:space="4" w:color="auto"/>
        </w:pBdr>
        <w:rPr>
          <w:sz w:val="24"/>
        </w:rPr>
      </w:pPr>
      <w:r>
        <w:rPr>
          <w:b/>
          <w:sz w:val="24"/>
        </w:rPr>
        <w:t>Contact(s):  Name</w:t>
      </w:r>
      <w:r>
        <w:rPr>
          <w:sz w:val="24"/>
        </w:rPr>
        <w:t xml:space="preserve">   1) Adam Newman; 2</w:t>
      </w:r>
      <w:proofErr w:type="gramStart"/>
      <w:r>
        <w:rPr>
          <w:sz w:val="24"/>
        </w:rPr>
        <w:t>)Barb</w:t>
      </w:r>
      <w:proofErr w:type="gramEnd"/>
      <w:r>
        <w:rPr>
          <w:sz w:val="24"/>
        </w:rPr>
        <w:t xml:space="preserve"> Green; 3)Cathie Capita</w:t>
      </w:r>
    </w:p>
    <w:p w:rsidR="00D12CAC" w:rsidRDefault="00606FA8">
      <w:pPr>
        <w:pBdr>
          <w:top w:val="single" w:sz="4" w:space="1" w:color="auto"/>
          <w:left w:val="single" w:sz="4" w:space="4" w:color="auto"/>
          <w:bottom w:val="single" w:sz="4" w:space="1" w:color="auto"/>
          <w:right w:val="single" w:sz="4" w:space="4" w:color="auto"/>
        </w:pBdr>
        <w:rPr>
          <w:sz w:val="24"/>
        </w:rPr>
      </w:pPr>
      <w:r>
        <w:rPr>
          <w:sz w:val="24"/>
        </w:rPr>
        <w:tab/>
        <w:t xml:space="preserve">         </w:t>
      </w:r>
      <w:r>
        <w:rPr>
          <w:b/>
          <w:sz w:val="24"/>
        </w:rPr>
        <w:t>Contact Number</w:t>
      </w:r>
      <w:r>
        <w:rPr>
          <w:sz w:val="24"/>
        </w:rPr>
        <w:t xml:space="preserve">   1) 732-758-4962; 2) 407-889-1330; 3) 425-653-4616</w:t>
      </w:r>
    </w:p>
    <w:p w:rsidR="00D12CAC" w:rsidRDefault="00606FA8">
      <w:pPr>
        <w:pBdr>
          <w:top w:val="single" w:sz="4" w:space="1" w:color="auto"/>
          <w:left w:val="single" w:sz="4" w:space="4" w:color="auto"/>
          <w:bottom w:val="single" w:sz="4" w:space="1" w:color="auto"/>
          <w:right w:val="single" w:sz="4" w:space="4" w:color="auto"/>
        </w:pBdr>
        <w:rPr>
          <w:sz w:val="24"/>
        </w:rPr>
      </w:pPr>
      <w:r>
        <w:rPr>
          <w:sz w:val="24"/>
        </w:rPr>
        <w:tab/>
        <w:t xml:space="preserve">         </w:t>
      </w:r>
      <w:r>
        <w:rPr>
          <w:b/>
          <w:sz w:val="24"/>
        </w:rPr>
        <w:t>Email Address</w:t>
      </w:r>
      <w:r>
        <w:rPr>
          <w:sz w:val="24"/>
        </w:rPr>
        <w:t xml:space="preserve">   1) </w:t>
      </w:r>
      <w:hyperlink r:id="rId7" w:history="1">
        <w:r>
          <w:rPr>
            <w:rStyle w:val="Hyperlink"/>
            <w:sz w:val="24"/>
          </w:rPr>
          <w:t>anewman@telcordia.com</w:t>
        </w:r>
      </w:hyperlink>
      <w:r>
        <w:rPr>
          <w:sz w:val="24"/>
        </w:rPr>
        <w:t xml:space="preserve">; 2) </w:t>
      </w:r>
      <w:hyperlink r:id="rId8" w:history="1">
        <w:r>
          <w:rPr>
            <w:rStyle w:val="Hyperlink"/>
            <w:sz w:val="24"/>
          </w:rPr>
          <w:t>barbara.green@mail.sprint.com</w:t>
        </w:r>
      </w:hyperlink>
      <w:r>
        <w:rPr>
          <w:sz w:val="24"/>
        </w:rPr>
        <w:t>; 3) Cathie.Capita@voicestream.com</w:t>
      </w:r>
    </w:p>
    <w:p w:rsidR="00D12CAC" w:rsidRDefault="00606FA8">
      <w:pPr>
        <w:pBdr>
          <w:top w:val="single" w:sz="4" w:space="1" w:color="auto"/>
          <w:left w:val="single" w:sz="4" w:space="4" w:color="auto"/>
          <w:bottom w:val="single" w:sz="4" w:space="1" w:color="auto"/>
          <w:right w:val="single" w:sz="4" w:space="4" w:color="auto"/>
        </w:pBdr>
        <w:rPr>
          <w:b/>
          <w:sz w:val="16"/>
        </w:rPr>
      </w:pPr>
      <w:r>
        <w:rPr>
          <w:b/>
          <w:sz w:val="16"/>
        </w:rPr>
        <w:t>(NOTE: Submitting Company(s) is to complete this section of the form along with Sections 1, 2 and 3.)</w:t>
      </w:r>
    </w:p>
    <w:p w:rsidR="00D12CAC" w:rsidRDefault="00D12CAC">
      <w:pPr>
        <w:rPr>
          <w:sz w:val="24"/>
          <w:u w:val="single"/>
        </w:rPr>
      </w:pPr>
    </w:p>
    <w:p w:rsidR="00D12CAC" w:rsidRDefault="00D12CAC">
      <w:pPr>
        <w:rPr>
          <w:sz w:val="24"/>
          <w:u w:val="single"/>
        </w:rPr>
      </w:pPr>
    </w:p>
    <w:p w:rsidR="00D12CAC" w:rsidRDefault="00606FA8">
      <w:pPr>
        <w:numPr>
          <w:ilvl w:val="0"/>
          <w:numId w:val="3"/>
        </w:numPr>
        <w:rPr>
          <w:sz w:val="16"/>
        </w:rPr>
      </w:pPr>
      <w:r>
        <w:rPr>
          <w:b/>
          <w:sz w:val="24"/>
        </w:rPr>
        <w:t>Problem/Issue Statement:</w:t>
      </w:r>
      <w:r>
        <w:rPr>
          <w:sz w:val="24"/>
        </w:rPr>
        <w:t xml:space="preserve"> </w:t>
      </w:r>
      <w:r>
        <w:rPr>
          <w:sz w:val="16"/>
        </w:rPr>
        <w:t>(Brief statement outlining the problem/issue.)</w:t>
      </w:r>
    </w:p>
    <w:p w:rsidR="00D12CAC" w:rsidRDefault="00D12CAC">
      <w:pPr>
        <w:rPr>
          <w:sz w:val="24"/>
        </w:rPr>
      </w:pPr>
    </w:p>
    <w:p w:rsidR="00D12CAC" w:rsidRDefault="00606FA8">
      <w:pPr>
        <w:pStyle w:val="BodyText2"/>
        <w:rPr>
          <w:sz w:val="20"/>
        </w:rPr>
      </w:pPr>
      <w:r>
        <w:rPr>
          <w:sz w:val="20"/>
        </w:rPr>
        <w:t xml:space="preserve">The LRNs, NXX data, and NXX-X data and effective dates of the data in the NPAC are not always in synch with those in the Telcordia Business Integrated Routing and Rating Database System (BIRRDS).                                                          </w:t>
      </w:r>
    </w:p>
    <w:p w:rsidR="00D12CAC" w:rsidRDefault="00606FA8">
      <w:pPr>
        <w:rPr>
          <w:sz w:val="24"/>
        </w:rPr>
      </w:pPr>
      <w:r>
        <w:rPr>
          <w:sz w:val="24"/>
        </w:rPr>
        <w:t xml:space="preserve"> </w:t>
      </w:r>
    </w:p>
    <w:p w:rsidR="00D12CAC" w:rsidRDefault="00D12CAC">
      <w:pPr>
        <w:rPr>
          <w:sz w:val="24"/>
        </w:rPr>
      </w:pPr>
    </w:p>
    <w:p w:rsidR="00D12CAC" w:rsidRDefault="00606FA8">
      <w:pPr>
        <w:pStyle w:val="BodyText"/>
        <w:numPr>
          <w:ilvl w:val="0"/>
          <w:numId w:val="2"/>
        </w:numPr>
        <w:pBdr>
          <w:top w:val="none" w:sz="0" w:space="0" w:color="auto"/>
          <w:left w:val="none" w:sz="0" w:space="0" w:color="auto"/>
          <w:bottom w:val="none" w:sz="0" w:space="0" w:color="auto"/>
          <w:right w:val="none" w:sz="0" w:space="0" w:color="auto"/>
        </w:pBdr>
        <w:rPr>
          <w:sz w:val="16"/>
          <w:u w:val="none"/>
        </w:rPr>
      </w:pPr>
      <w:r>
        <w:rPr>
          <w:b/>
          <w:sz w:val="24"/>
          <w:u w:val="none"/>
        </w:rPr>
        <w:t>Problem/Issue Description:</w:t>
      </w:r>
      <w:r>
        <w:rPr>
          <w:sz w:val="24"/>
          <w:u w:val="none"/>
        </w:rPr>
        <w:t xml:space="preserve"> </w:t>
      </w:r>
      <w:r>
        <w:rPr>
          <w:sz w:val="16"/>
          <w:u w:val="none"/>
        </w:rPr>
        <w:t>(Provide detailed description of problem/issue.)</w:t>
      </w:r>
    </w:p>
    <w:p w:rsidR="00D12CAC" w:rsidRDefault="00D12CAC">
      <w:pPr>
        <w:pStyle w:val="BodyText"/>
        <w:pBdr>
          <w:top w:val="none" w:sz="0" w:space="0" w:color="auto"/>
          <w:left w:val="none" w:sz="0" w:space="0" w:color="auto"/>
          <w:bottom w:val="none" w:sz="0" w:space="0" w:color="auto"/>
          <w:right w:val="none" w:sz="0" w:space="0" w:color="auto"/>
        </w:pBdr>
        <w:rPr>
          <w:sz w:val="16"/>
          <w:u w:val="none"/>
        </w:rPr>
      </w:pPr>
    </w:p>
    <w:p w:rsidR="00D12CAC" w:rsidRDefault="00606FA8">
      <w:pPr>
        <w:pStyle w:val="BodyText2"/>
        <w:numPr>
          <w:ilvl w:val="0"/>
          <w:numId w:val="4"/>
        </w:numPr>
        <w:rPr>
          <w:sz w:val="20"/>
        </w:rPr>
      </w:pPr>
      <w:r>
        <w:rPr>
          <w:sz w:val="20"/>
        </w:rPr>
        <w:t xml:space="preserve">Examples &amp; Impacts of Problem/Issue: </w:t>
      </w:r>
    </w:p>
    <w:p w:rsidR="00D12CAC" w:rsidRDefault="00D12CAC">
      <w:pPr>
        <w:pStyle w:val="BodyText2"/>
        <w:rPr>
          <w:sz w:val="20"/>
        </w:rPr>
      </w:pPr>
    </w:p>
    <w:p w:rsidR="00D12CAC" w:rsidRDefault="00606FA8">
      <w:pPr>
        <w:pStyle w:val="BodyText2"/>
        <w:rPr>
          <w:sz w:val="20"/>
        </w:rPr>
      </w:pPr>
      <w:r>
        <w:rPr>
          <w:sz w:val="20"/>
        </w:rPr>
        <w:t xml:space="preserve">It was brought to </w:t>
      </w:r>
      <w:proofErr w:type="spellStart"/>
      <w:r>
        <w:rPr>
          <w:sz w:val="20"/>
        </w:rPr>
        <w:t>Telcordia’s</w:t>
      </w:r>
      <w:proofErr w:type="spellEnd"/>
      <w:r>
        <w:rPr>
          <w:sz w:val="20"/>
        </w:rPr>
        <w:t xml:space="preserve"> and CIGRR’s attention that in at least one region (Western) that there were several hundred LRNs in the NPAC which were not in the LERG Routing Guide.</w:t>
      </w:r>
    </w:p>
    <w:p w:rsidR="00D12CAC" w:rsidRDefault="00D12CAC">
      <w:pPr>
        <w:pStyle w:val="BodyText2"/>
        <w:rPr>
          <w:sz w:val="20"/>
        </w:rPr>
      </w:pPr>
    </w:p>
    <w:p w:rsidR="00D12CAC" w:rsidRDefault="00606FA8">
      <w:pPr>
        <w:pStyle w:val="BodyText2"/>
        <w:rPr>
          <w:sz w:val="20"/>
        </w:rPr>
      </w:pPr>
      <w:r>
        <w:rPr>
          <w:sz w:val="20"/>
        </w:rPr>
        <w:t>The LRN Assignment Practices require that SPs record their LRNs in the LERG Routing Guide.</w:t>
      </w:r>
    </w:p>
    <w:p w:rsidR="00D12CAC" w:rsidRDefault="00D12CAC">
      <w:pPr>
        <w:pStyle w:val="BodyText2"/>
        <w:rPr>
          <w:sz w:val="20"/>
        </w:rPr>
      </w:pPr>
    </w:p>
    <w:p w:rsidR="00D12CAC" w:rsidRDefault="00606FA8">
      <w:pPr>
        <w:pStyle w:val="BodyText2"/>
        <w:rPr>
          <w:sz w:val="20"/>
        </w:rPr>
      </w:pPr>
      <w:r>
        <w:rPr>
          <w:sz w:val="20"/>
        </w:rPr>
        <w:t>Not having the LRN published in the Telcordia™ LERG Routing Guide makes trouble shooting of routing problems and administrative validations significantly more difficult to perform.  The LERG Routing Guide is used by many service providers to provision many of their back office systems.  Having accurate data in the LERG Routing Guide is important to the industry.</w:t>
      </w:r>
    </w:p>
    <w:p w:rsidR="00D12CAC" w:rsidRDefault="00D12CAC">
      <w:pPr>
        <w:pStyle w:val="BodyText2"/>
        <w:rPr>
          <w:sz w:val="20"/>
        </w:rPr>
      </w:pPr>
    </w:p>
    <w:p w:rsidR="00D12CAC" w:rsidRDefault="00606FA8">
      <w:pPr>
        <w:pStyle w:val="BodyText2"/>
        <w:rPr>
          <w:sz w:val="20"/>
        </w:rPr>
      </w:pPr>
      <w:r>
        <w:rPr>
          <w:sz w:val="20"/>
        </w:rPr>
        <w:t xml:space="preserve">There are also likely differences between NXXs opened for portability between the two databases.  </w:t>
      </w:r>
    </w:p>
    <w:p w:rsidR="00D12CAC" w:rsidRDefault="00D12CAC">
      <w:pPr>
        <w:pStyle w:val="BodyText2"/>
        <w:rPr>
          <w:sz w:val="20"/>
        </w:rPr>
      </w:pPr>
    </w:p>
    <w:p w:rsidR="00D12CAC" w:rsidRDefault="00606FA8">
      <w:pPr>
        <w:pStyle w:val="BodyText2"/>
        <w:rPr>
          <w:sz w:val="20"/>
        </w:rPr>
      </w:pPr>
      <w:r>
        <w:rPr>
          <w:sz w:val="20"/>
        </w:rPr>
        <w:t>Also there are certainly differences between NXX-Xs between the two databases due primarily to intra-SP porting of blocks.</w:t>
      </w:r>
    </w:p>
    <w:p w:rsidR="00D12CAC" w:rsidRDefault="00D12CAC">
      <w:pPr>
        <w:pStyle w:val="BodyText2"/>
        <w:rPr>
          <w:sz w:val="20"/>
        </w:rPr>
      </w:pPr>
    </w:p>
    <w:p w:rsidR="00D12CAC" w:rsidRDefault="00606FA8">
      <w:pPr>
        <w:pStyle w:val="BodyText2"/>
        <w:rPr>
          <w:sz w:val="20"/>
        </w:rPr>
      </w:pPr>
      <w:r>
        <w:rPr>
          <w:sz w:val="20"/>
        </w:rPr>
        <w:t>In addition with all the activity surrounding returns of portable NXXs and NXX-Xs, there is a need to line up the processes the industry uses.  Comparing databases allows for determination of the extent of the problem and allows for root cause analysis and process improvement.</w:t>
      </w:r>
    </w:p>
    <w:p w:rsidR="00D12CAC" w:rsidRDefault="00D12CAC">
      <w:pPr>
        <w:pStyle w:val="BodyText2"/>
        <w:rPr>
          <w:sz w:val="20"/>
        </w:rPr>
      </w:pPr>
    </w:p>
    <w:p w:rsidR="00D12CAC" w:rsidRDefault="00D12CAC">
      <w:pPr>
        <w:rPr>
          <w:sz w:val="24"/>
        </w:rPr>
      </w:pPr>
    </w:p>
    <w:p w:rsidR="00D12CAC" w:rsidRDefault="00606FA8">
      <w:pPr>
        <w:pStyle w:val="BodyText2"/>
        <w:numPr>
          <w:ilvl w:val="0"/>
          <w:numId w:val="4"/>
        </w:numPr>
        <w:rPr>
          <w:sz w:val="20"/>
        </w:rPr>
      </w:pPr>
      <w:r>
        <w:rPr>
          <w:sz w:val="20"/>
        </w:rPr>
        <w:t xml:space="preserve">Frequency of Occurrence: </w:t>
      </w:r>
    </w:p>
    <w:p w:rsidR="00D12CAC" w:rsidRDefault="00D12CAC">
      <w:pPr>
        <w:pStyle w:val="BodyText2"/>
        <w:rPr>
          <w:sz w:val="20"/>
        </w:rPr>
      </w:pPr>
    </w:p>
    <w:p w:rsidR="00D12CAC" w:rsidRDefault="00606FA8">
      <w:pPr>
        <w:pStyle w:val="BodyText2"/>
        <w:rPr>
          <w:sz w:val="20"/>
        </w:rPr>
      </w:pPr>
      <w:r>
        <w:rPr>
          <w:sz w:val="20"/>
        </w:rPr>
        <w:t>Ongoing</w:t>
      </w:r>
    </w:p>
    <w:p w:rsidR="00D12CAC" w:rsidRDefault="00D12CAC">
      <w:pPr>
        <w:rPr>
          <w:sz w:val="24"/>
        </w:rPr>
      </w:pPr>
    </w:p>
    <w:p w:rsidR="00D12CAC" w:rsidRDefault="00606FA8">
      <w:pPr>
        <w:pStyle w:val="BodyText2"/>
        <w:numPr>
          <w:ilvl w:val="0"/>
          <w:numId w:val="1"/>
        </w:numPr>
        <w:rPr>
          <w:sz w:val="20"/>
        </w:rPr>
      </w:pPr>
      <w:r>
        <w:rPr>
          <w:sz w:val="20"/>
        </w:rPr>
        <w:t>NPAC Regions Impacted:</w:t>
      </w:r>
    </w:p>
    <w:p w:rsidR="00D12CAC" w:rsidRDefault="00606FA8">
      <w:pPr>
        <w:pStyle w:val="BodyText2"/>
        <w:rPr>
          <w:sz w:val="20"/>
        </w:rPr>
      </w:pPr>
      <w:r>
        <w:rPr>
          <w:sz w:val="20"/>
        </w:rPr>
        <w:t xml:space="preserve"> Canada___ </w:t>
      </w:r>
      <w:proofErr w:type="gramStart"/>
      <w:r>
        <w:rPr>
          <w:sz w:val="20"/>
        </w:rPr>
        <w:t>Mid</w:t>
      </w:r>
      <w:proofErr w:type="gramEnd"/>
      <w:r>
        <w:rPr>
          <w:sz w:val="20"/>
        </w:rPr>
        <w:t xml:space="preserve"> Atlantic ___ Midwest___ Northeast___ Southeast___ Southwest___ Western_</w:t>
      </w:r>
      <w:r>
        <w:rPr>
          <w:sz w:val="20"/>
          <w:u w:val="single"/>
        </w:rPr>
        <w:t xml:space="preserve"> </w:t>
      </w:r>
      <w:r>
        <w:rPr>
          <w:sz w:val="20"/>
        </w:rPr>
        <w:t xml:space="preserve">_     </w:t>
      </w:r>
    </w:p>
    <w:p w:rsidR="00D12CAC" w:rsidRDefault="00606FA8">
      <w:pPr>
        <w:pStyle w:val="BodyText2"/>
        <w:rPr>
          <w:sz w:val="20"/>
        </w:rPr>
      </w:pPr>
      <w:r>
        <w:rPr>
          <w:sz w:val="20"/>
        </w:rPr>
        <w:t xml:space="preserve"> West Coast__</w:t>
      </w:r>
      <w:proofErr w:type="gramStart"/>
      <w:r>
        <w:rPr>
          <w:sz w:val="20"/>
        </w:rPr>
        <w:t>_  ALL</w:t>
      </w:r>
      <w:proofErr w:type="gramEnd"/>
      <w:r>
        <w:rPr>
          <w:sz w:val="20"/>
        </w:rPr>
        <w:t>_</w:t>
      </w:r>
      <w:r>
        <w:rPr>
          <w:sz w:val="20"/>
          <w:u w:val="single"/>
        </w:rPr>
        <w:t>X</w:t>
      </w:r>
      <w:r>
        <w:rPr>
          <w:sz w:val="20"/>
        </w:rPr>
        <w:t>__</w:t>
      </w:r>
    </w:p>
    <w:p w:rsidR="00D12CAC" w:rsidRDefault="00D12CAC">
      <w:pPr>
        <w:rPr>
          <w:sz w:val="24"/>
        </w:rPr>
      </w:pPr>
    </w:p>
    <w:p w:rsidR="00D12CAC" w:rsidRDefault="00606FA8">
      <w:pPr>
        <w:pStyle w:val="BodyText2"/>
        <w:numPr>
          <w:ilvl w:val="0"/>
          <w:numId w:val="1"/>
        </w:numPr>
        <w:rPr>
          <w:sz w:val="20"/>
        </w:rPr>
      </w:pPr>
      <w:r>
        <w:rPr>
          <w:sz w:val="20"/>
        </w:rPr>
        <w:t>Rationale why existing process is deficient:</w:t>
      </w:r>
    </w:p>
    <w:p w:rsidR="00D12CAC" w:rsidRDefault="00D12CAC">
      <w:pPr>
        <w:pStyle w:val="BodyText2"/>
        <w:rPr>
          <w:sz w:val="20"/>
        </w:rPr>
      </w:pPr>
    </w:p>
    <w:p w:rsidR="00D12CAC" w:rsidRDefault="00606FA8">
      <w:pPr>
        <w:pStyle w:val="BodyText"/>
        <w:rPr>
          <w:u w:val="none"/>
        </w:rPr>
      </w:pPr>
      <w:r>
        <w:rPr>
          <w:u w:val="none"/>
        </w:rPr>
        <w:t xml:space="preserve">There is no current centralized process for synchronizing the LRNs, NXX, NXX-X, effective dates, and Service Provider ID data provisioned by service providers in the NPAC SMS and in the Telcordia Business Integrated Routing and Rating Database System (BIRRDS). Also, two separate entities may be responsible for entering the data into the two databases.  .  </w:t>
      </w:r>
    </w:p>
    <w:p w:rsidR="00D12CAC" w:rsidRDefault="00D12CAC">
      <w:pPr>
        <w:pStyle w:val="BodyText2"/>
        <w:rPr>
          <w:sz w:val="20"/>
        </w:rPr>
      </w:pPr>
    </w:p>
    <w:p w:rsidR="00D12CAC" w:rsidRDefault="00D12CAC">
      <w:pPr>
        <w:rPr>
          <w:sz w:val="24"/>
        </w:rPr>
      </w:pPr>
    </w:p>
    <w:p w:rsidR="00D12CAC" w:rsidRDefault="00606FA8">
      <w:pPr>
        <w:pStyle w:val="BodyText2"/>
        <w:numPr>
          <w:ilvl w:val="0"/>
          <w:numId w:val="1"/>
        </w:numPr>
        <w:rPr>
          <w:sz w:val="20"/>
        </w:rPr>
      </w:pPr>
      <w:r>
        <w:rPr>
          <w:sz w:val="20"/>
        </w:rPr>
        <w:t xml:space="preserve">Identify action taken in other committees / forums: </w:t>
      </w:r>
    </w:p>
    <w:p w:rsidR="00D12CAC" w:rsidRDefault="00606FA8">
      <w:pPr>
        <w:pStyle w:val="BodyText2"/>
        <w:rPr>
          <w:sz w:val="20"/>
        </w:rPr>
      </w:pPr>
      <w:r>
        <w:rPr>
          <w:sz w:val="20"/>
        </w:rPr>
        <w:t>Issue raised at Telcordia Common Interest Group on Rating and Routing.</w:t>
      </w:r>
    </w:p>
    <w:p w:rsidR="00D12CAC" w:rsidRDefault="00606FA8">
      <w:pPr>
        <w:pStyle w:val="BodyText2"/>
        <w:rPr>
          <w:sz w:val="20"/>
        </w:rPr>
      </w:pPr>
      <w:r>
        <w:rPr>
          <w:sz w:val="20"/>
        </w:rPr>
        <w:t xml:space="preserve"> </w:t>
      </w:r>
    </w:p>
    <w:p w:rsidR="00D12CAC" w:rsidRDefault="00D12CAC">
      <w:pPr>
        <w:rPr>
          <w:sz w:val="24"/>
        </w:rPr>
      </w:pPr>
    </w:p>
    <w:p w:rsidR="00D12CAC" w:rsidRDefault="00606FA8">
      <w:pPr>
        <w:pStyle w:val="BodyText2"/>
        <w:rPr>
          <w:sz w:val="20"/>
        </w:rPr>
      </w:pPr>
      <w:r>
        <w:rPr>
          <w:sz w:val="20"/>
        </w:rPr>
        <w:t>F.   Any other descriptive items: 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2CAC" w:rsidRDefault="00D12CAC">
      <w:pPr>
        <w:rPr>
          <w:sz w:val="24"/>
        </w:rPr>
      </w:pPr>
    </w:p>
    <w:p w:rsidR="00D12CAC" w:rsidRDefault="00606FA8">
      <w:pPr>
        <w:numPr>
          <w:ilvl w:val="0"/>
          <w:numId w:val="2"/>
        </w:numPr>
        <w:rPr>
          <w:sz w:val="24"/>
        </w:rPr>
      </w:pPr>
      <w:r>
        <w:rPr>
          <w:b/>
          <w:sz w:val="24"/>
        </w:rPr>
        <w:t>Suggested Resolution:</w:t>
      </w:r>
      <w:r>
        <w:rPr>
          <w:sz w:val="24"/>
        </w:rPr>
        <w:t xml:space="preserve"> </w:t>
      </w:r>
    </w:p>
    <w:p w:rsidR="00D12CAC" w:rsidRDefault="00D12CAC">
      <w:pPr>
        <w:rPr>
          <w:sz w:val="24"/>
        </w:rPr>
      </w:pPr>
    </w:p>
    <w:p w:rsidR="00D12CAC" w:rsidRDefault="00606FA8">
      <w:pPr>
        <w:pStyle w:val="BodyText3"/>
      </w:pPr>
      <w:r>
        <w:t>The following actions are proposed to resolve this issue:</w:t>
      </w:r>
    </w:p>
    <w:p w:rsidR="00D12CAC" w:rsidRDefault="00D12CAC">
      <w:pPr>
        <w:pStyle w:val="BodyText3"/>
      </w:pPr>
    </w:p>
    <w:p w:rsidR="00D12CAC" w:rsidRDefault="00606FA8">
      <w:pPr>
        <w:pStyle w:val="BodyText3"/>
        <w:numPr>
          <w:ilvl w:val="0"/>
          <w:numId w:val="5"/>
        </w:numPr>
      </w:pPr>
      <w:r>
        <w:t>Similar to the data exchange Telcordia Routing Administration performs with NECA, have a data file, in an agreed to format, sent from NPAC to Telcordia Routing Administration (TRA) with the relevant LRN, NXX, NXX-X, effective date and Service Provider ID data that is entered into the two databases.  This format should be able to be processed for data validations e.g., fixed ASCII format.  TRA will validate that all the relevant data is consistent.  When any data is inconsistent, TRA will provide a report on the inconsistencies to the AOCN of the company associated with the NXX, NXX-X, or LRN.  This information could be copied (by either TRA or the AOCN) to the LNP contact of the company on request to facilitate communication between the routing group and the portability group for any necessary correction to the data.</w:t>
      </w:r>
    </w:p>
    <w:p w:rsidR="00D12CAC" w:rsidRDefault="00D12CAC">
      <w:pPr>
        <w:rPr>
          <w:sz w:val="24"/>
        </w:rPr>
      </w:pPr>
    </w:p>
    <w:p w:rsidR="00980749" w:rsidRPr="00EE728F" w:rsidRDefault="00980749" w:rsidP="00980749">
      <w:pPr>
        <w:pStyle w:val="ListParagraph"/>
        <w:numPr>
          <w:ilvl w:val="0"/>
          <w:numId w:val="2"/>
        </w:numPr>
      </w:pPr>
      <w:r w:rsidRPr="009469C7">
        <w:rPr>
          <w:b/>
        </w:rPr>
        <w:t>Final Resolution:</w:t>
      </w:r>
    </w:p>
    <w:p w:rsidR="00980749" w:rsidRPr="00EE728F" w:rsidRDefault="00980749" w:rsidP="00980749">
      <w:pPr>
        <w:ind w:left="360"/>
      </w:pPr>
    </w:p>
    <w:p w:rsidR="005C2764" w:rsidRDefault="005C2764" w:rsidP="005C2764">
      <w:pPr>
        <w:pBdr>
          <w:top w:val="single" w:sz="4" w:space="1" w:color="auto"/>
          <w:left w:val="single" w:sz="4" w:space="18" w:color="auto"/>
          <w:bottom w:val="single" w:sz="4" w:space="1" w:color="auto"/>
          <w:right w:val="single" w:sz="4" w:space="4" w:color="auto"/>
          <w:bar w:val="single" w:sz="4" w:color="auto"/>
        </w:pBdr>
        <w:ind w:left="270"/>
      </w:pPr>
      <w:r>
        <w:t>SPs are to discuss with their respective CIGRR members and report in April meeting.</w:t>
      </w:r>
    </w:p>
    <w:p w:rsidR="005C2764" w:rsidRDefault="005C2764" w:rsidP="005C2764">
      <w:pPr>
        <w:pBdr>
          <w:top w:val="single" w:sz="4" w:space="1" w:color="auto"/>
          <w:left w:val="single" w:sz="4" w:space="18" w:color="auto"/>
          <w:bottom w:val="single" w:sz="4" w:space="1" w:color="auto"/>
          <w:right w:val="single" w:sz="4" w:space="4" w:color="auto"/>
          <w:bar w:val="single" w:sz="4" w:color="auto"/>
        </w:pBdr>
        <w:ind w:left="270"/>
      </w:pPr>
    </w:p>
    <w:p w:rsidR="00980749" w:rsidRPr="00EE728F" w:rsidRDefault="005C2764" w:rsidP="005C2764">
      <w:pPr>
        <w:pBdr>
          <w:top w:val="single" w:sz="4" w:space="1" w:color="auto"/>
          <w:left w:val="single" w:sz="4" w:space="18" w:color="auto"/>
          <w:bottom w:val="single" w:sz="4" w:space="1" w:color="auto"/>
          <w:right w:val="single" w:sz="4" w:space="4" w:color="auto"/>
          <w:bar w:val="single" w:sz="4" w:color="auto"/>
        </w:pBdr>
        <w:ind w:left="270"/>
      </w:pPr>
      <w:r>
        <w:t>07/09/2003 – PIM was withdrawn by submitter</w:t>
      </w:r>
      <w:r w:rsidR="00980749" w:rsidRPr="002173A3">
        <w:t>.</w:t>
      </w:r>
      <w:r w:rsidR="00980749">
        <w:t xml:space="preserve"> </w:t>
      </w:r>
    </w:p>
    <w:p w:rsidR="00D12CAC" w:rsidRDefault="00D12CAC">
      <w:pPr>
        <w:rPr>
          <w:sz w:val="24"/>
        </w:rPr>
      </w:pPr>
    </w:p>
    <w:p w:rsidR="00980749" w:rsidRDefault="00980749">
      <w:pPr>
        <w:rPr>
          <w:sz w:val="24"/>
        </w:rPr>
      </w:pPr>
    </w:p>
    <w:p w:rsidR="00D12CAC" w:rsidRDefault="00606FA8">
      <w:pPr>
        <w:pBdr>
          <w:top w:val="single" w:sz="4" w:space="1" w:color="auto"/>
          <w:left w:val="single" w:sz="4" w:space="4" w:color="auto"/>
          <w:bottom w:val="single" w:sz="4" w:space="1" w:color="auto"/>
          <w:right w:val="single" w:sz="4" w:space="4" w:color="auto"/>
        </w:pBdr>
        <w:shd w:val="pct10" w:color="000000" w:fill="FFFFFF"/>
        <w:rPr>
          <w:sz w:val="24"/>
        </w:rPr>
      </w:pPr>
      <w:r>
        <w:rPr>
          <w:b/>
          <w:sz w:val="24"/>
          <w:u w:val="single"/>
        </w:rPr>
        <w:t>LNPA WG:</w:t>
      </w:r>
      <w:r>
        <w:rPr>
          <w:sz w:val="24"/>
        </w:rPr>
        <w:t xml:space="preserve"> (only)</w:t>
      </w:r>
      <w:r w:rsidR="00980749">
        <w:rPr>
          <w:sz w:val="24"/>
        </w:rPr>
        <w:tab/>
      </w:r>
      <w:r w:rsidR="00980749">
        <w:rPr>
          <w:sz w:val="24"/>
        </w:rPr>
        <w:tab/>
      </w:r>
      <w:r w:rsidR="00980749">
        <w:rPr>
          <w:sz w:val="24"/>
        </w:rPr>
        <w:tab/>
      </w:r>
      <w:r w:rsidR="00980749">
        <w:rPr>
          <w:sz w:val="24"/>
        </w:rPr>
        <w:tab/>
        <w:t>Final Resolution Date:</w:t>
      </w:r>
      <w:r w:rsidR="005C2764">
        <w:rPr>
          <w:sz w:val="24"/>
        </w:rPr>
        <w:t xml:space="preserve"> 7/09/2003</w:t>
      </w:r>
    </w:p>
    <w:p w:rsidR="00D12CAC" w:rsidRDefault="00606FA8">
      <w:pPr>
        <w:pBdr>
          <w:top w:val="single" w:sz="4" w:space="1" w:color="auto"/>
          <w:left w:val="single" w:sz="4" w:space="4" w:color="auto"/>
          <w:bottom w:val="single" w:sz="4" w:space="1" w:color="auto"/>
          <w:right w:val="single" w:sz="4" w:space="4" w:color="auto"/>
        </w:pBdr>
        <w:shd w:val="pct10" w:color="000000" w:fill="FFFFFF"/>
        <w:rPr>
          <w:sz w:val="24"/>
        </w:rPr>
      </w:pPr>
      <w:r>
        <w:rPr>
          <w:sz w:val="24"/>
        </w:rPr>
        <w:t>Item Number: 0023</w:t>
      </w:r>
      <w:r w:rsidR="00980749">
        <w:rPr>
          <w:sz w:val="24"/>
        </w:rPr>
        <w:t xml:space="preserve"> v2</w:t>
      </w:r>
      <w:r w:rsidR="00980749">
        <w:rPr>
          <w:sz w:val="24"/>
        </w:rPr>
        <w:tab/>
      </w:r>
      <w:r w:rsidR="00980749">
        <w:rPr>
          <w:sz w:val="24"/>
        </w:rPr>
        <w:tab/>
      </w:r>
      <w:r w:rsidR="00980749">
        <w:rPr>
          <w:sz w:val="24"/>
        </w:rPr>
        <w:tab/>
        <w:t>Related Documents:</w:t>
      </w:r>
      <w:r>
        <w:rPr>
          <w:sz w:val="24"/>
        </w:rPr>
        <w:tab/>
      </w:r>
    </w:p>
    <w:p w:rsidR="00D12CAC" w:rsidRDefault="00606FA8">
      <w:pPr>
        <w:pBdr>
          <w:top w:val="single" w:sz="4" w:space="1" w:color="auto"/>
          <w:left w:val="single" w:sz="4" w:space="4" w:color="auto"/>
          <w:bottom w:val="single" w:sz="4" w:space="1" w:color="auto"/>
          <w:right w:val="single" w:sz="4" w:space="4" w:color="auto"/>
        </w:pBdr>
        <w:shd w:val="pct10" w:color="000000" w:fill="FFFFFF"/>
        <w:rPr>
          <w:sz w:val="24"/>
        </w:rPr>
      </w:pPr>
      <w:r>
        <w:rPr>
          <w:sz w:val="24"/>
        </w:rPr>
        <w:t xml:space="preserve">Issue Resolution Referred to: </w:t>
      </w:r>
      <w:r>
        <w:t>_________________________________________________________</w:t>
      </w:r>
    </w:p>
    <w:p w:rsidR="00D12CAC" w:rsidRDefault="00606FA8">
      <w:pPr>
        <w:pBdr>
          <w:top w:val="single" w:sz="4" w:space="1" w:color="auto"/>
          <w:left w:val="single" w:sz="4" w:space="4" w:color="auto"/>
          <w:bottom w:val="single" w:sz="4" w:space="1" w:color="auto"/>
          <w:right w:val="single" w:sz="4" w:space="4" w:color="auto"/>
        </w:pBdr>
        <w:shd w:val="pct10" w:color="000000" w:fill="FFFFFF"/>
      </w:pPr>
      <w:r>
        <w:rPr>
          <w:sz w:val="24"/>
        </w:rPr>
        <w:t>Why Issue Referred:</w:t>
      </w:r>
      <w:r>
        <w:t xml:space="preserve"> __________________________________________________________________</w:t>
      </w:r>
      <w:r>
        <w:rPr>
          <w:sz w:val="24"/>
        </w:rPr>
        <w:t xml:space="preserve"> </w:t>
      </w:r>
      <w:r>
        <w:t>____________________________________________________________________________________________________________________________________________________________________________</w:t>
      </w:r>
    </w:p>
    <w:sectPr w:rsidR="00D12CAC">
      <w:headerReference w:type="default" r:id="rId9"/>
      <w:footerReference w:type="even" r:id="rId10"/>
      <w:footerReference w:type="default" r:id="rId11"/>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CAC" w:rsidRDefault="00606FA8">
      <w:r>
        <w:separator/>
      </w:r>
    </w:p>
  </w:endnote>
  <w:endnote w:type="continuationSeparator" w:id="0">
    <w:p w:rsidR="00D12CAC" w:rsidRDefault="0060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CAC" w:rsidRDefault="00606F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12CAC" w:rsidRDefault="00D12C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CAC" w:rsidRDefault="00606F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7214">
      <w:rPr>
        <w:rStyle w:val="PageNumber"/>
        <w:noProof/>
      </w:rPr>
      <w:t>1</w:t>
    </w:r>
    <w:r>
      <w:rPr>
        <w:rStyle w:val="PageNumber"/>
      </w:rPr>
      <w:fldChar w:fldCharType="end"/>
    </w:r>
  </w:p>
  <w:p w:rsidR="00D12CAC" w:rsidRDefault="00D12C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CAC" w:rsidRDefault="00606FA8">
      <w:r>
        <w:separator/>
      </w:r>
    </w:p>
  </w:footnote>
  <w:footnote w:type="continuationSeparator" w:id="0">
    <w:p w:rsidR="00D12CAC" w:rsidRDefault="00606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CAC" w:rsidRDefault="00606FA8">
    <w:pPr>
      <w:pStyle w:val="Header"/>
    </w:pPr>
    <w:r>
      <w:t>NANC – LNPA Working Group</w:t>
    </w:r>
    <w:r>
      <w:tab/>
      <w:t xml:space="preserve">                     </w:t>
    </w:r>
    <w:r>
      <w:tab/>
      <w:t>Problem/Issue Identification Document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D75E9"/>
    <w:multiLevelType w:val="singleLevel"/>
    <w:tmpl w:val="649AC03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3CEB3A4B"/>
    <w:multiLevelType w:val="singleLevel"/>
    <w:tmpl w:val="04090015"/>
    <w:lvl w:ilvl="0">
      <w:start w:val="3"/>
      <w:numFmt w:val="upperLetter"/>
      <w:lvlText w:val="%1."/>
      <w:lvlJc w:val="left"/>
      <w:pPr>
        <w:tabs>
          <w:tab w:val="num" w:pos="360"/>
        </w:tabs>
        <w:ind w:left="360" w:hanging="360"/>
      </w:pPr>
      <w:rPr>
        <w:rFonts w:hint="default"/>
      </w:rPr>
    </w:lvl>
  </w:abstractNum>
  <w:abstractNum w:abstractNumId="2" w15:restartNumberingAfterBreak="0">
    <w:nsid w:val="56733E54"/>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15:restartNumberingAfterBreak="0">
    <w:nsid w:val="70262B9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7F0545BC"/>
    <w:multiLevelType w:val="singleLevel"/>
    <w:tmpl w:val="050841FE"/>
    <w:lvl w:ilvl="0">
      <w:start w:val="2"/>
      <w:numFmt w:val="decimal"/>
      <w:lvlText w:val="%1."/>
      <w:lvlJc w:val="left"/>
      <w:pPr>
        <w:tabs>
          <w:tab w:val="num" w:pos="360"/>
        </w:tabs>
        <w:ind w:left="360" w:hanging="360"/>
      </w:pPr>
      <w:rPr>
        <w:rFonts w:hint="default"/>
        <w:b/>
        <w:sz w:val="24"/>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FA8"/>
    <w:rsid w:val="00127214"/>
    <w:rsid w:val="00376318"/>
    <w:rsid w:val="005C2764"/>
    <w:rsid w:val="00606C9D"/>
    <w:rsid w:val="00606FA8"/>
    <w:rsid w:val="00980749"/>
    <w:rsid w:val="00D12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0B1955-0932-4BD2-9ED0-E64DEA29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pBdr>
        <w:top w:val="single" w:sz="4" w:space="1" w:color="auto"/>
        <w:left w:val="single" w:sz="4" w:space="4" w:color="auto"/>
        <w:bottom w:val="single" w:sz="4" w:space="1" w:color="auto"/>
        <w:right w:val="single" w:sz="4" w:space="4" w:color="auto"/>
      </w:pBdr>
    </w:pPr>
    <w:rPr>
      <w:u w:val="single"/>
    </w:rPr>
  </w:style>
  <w:style w:type="paragraph" w:styleId="Title">
    <w:name w:val="Title"/>
    <w:basedOn w:val="Normal"/>
    <w:qFormat/>
    <w:pPr>
      <w:pBdr>
        <w:between w:val="single" w:sz="4" w:space="1" w:color="auto"/>
      </w:pBdr>
      <w:jc w:val="center"/>
    </w:pPr>
    <w:rPr>
      <w:b/>
      <w:sz w:val="28"/>
    </w:rPr>
  </w:style>
  <w:style w:type="paragraph" w:styleId="BodyText2">
    <w:name w:val="Body Text 2"/>
    <w:basedOn w:val="Normal"/>
    <w:semiHidden/>
    <w:pPr>
      <w:pBdr>
        <w:top w:val="single" w:sz="4" w:space="1" w:color="auto"/>
        <w:left w:val="single" w:sz="4" w:space="4" w:color="auto"/>
        <w:bottom w:val="single" w:sz="4" w:space="1" w:color="auto"/>
        <w:right w:val="single" w:sz="4" w:space="4" w:color="auto"/>
      </w:pBdr>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pPr>
  </w:style>
  <w:style w:type="character" w:styleId="Hyperlink">
    <w:name w:val="Hyperlink"/>
    <w:basedOn w:val="DefaultParagraphFont"/>
    <w:semiHidden/>
    <w:rPr>
      <w:color w:val="0000FF"/>
      <w:u w:val="single"/>
    </w:rPr>
  </w:style>
  <w:style w:type="paragraph" w:styleId="ListParagraph">
    <w:name w:val="List Paragraph"/>
    <w:basedOn w:val="Normal"/>
    <w:uiPriority w:val="1"/>
    <w:qFormat/>
    <w:rsid w:val="00980749"/>
    <w:pPr>
      <w:widowControl w:val="0"/>
      <w:autoSpaceDE w:val="0"/>
      <w:autoSpaceDN w:val="0"/>
      <w:adjustRightInd w:val="0"/>
      <w:ind w:left="562" w:hanging="36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ara.green@mail.sprin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ewman@telcordi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607</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LNP Problem Identification and Description Form</vt:lpstr>
    </vt:vector>
  </TitlesOfParts>
  <Company>Sprint-Internal Use Only</Company>
  <LinksUpToDate>false</LinksUpToDate>
  <CharactersWithSpaces>4737</CharactersWithSpaces>
  <SharedDoc>false</SharedDoc>
  <HLinks>
    <vt:vector size="12" baseType="variant">
      <vt:variant>
        <vt:i4>5701729</vt:i4>
      </vt:variant>
      <vt:variant>
        <vt:i4>3</vt:i4>
      </vt:variant>
      <vt:variant>
        <vt:i4>0</vt:i4>
      </vt:variant>
      <vt:variant>
        <vt:i4>5</vt:i4>
      </vt:variant>
      <vt:variant>
        <vt:lpwstr>mailto:barbara.green@mail.sprint.com</vt:lpwstr>
      </vt:variant>
      <vt:variant>
        <vt:lpwstr/>
      </vt:variant>
      <vt:variant>
        <vt:i4>8257619</vt:i4>
      </vt:variant>
      <vt:variant>
        <vt:i4>0</vt:i4>
      </vt:variant>
      <vt:variant>
        <vt:i4>0</vt:i4>
      </vt:variant>
      <vt:variant>
        <vt:i4>5</vt:i4>
      </vt:variant>
      <vt:variant>
        <vt:lpwstr>mailto:anwewman@telcordia.com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LNP Problem Identification and Description Form</dc:title>
  <dc:subject/>
  <dc:creator>Dave Garner</dc:creator>
  <cp:keywords/>
  <cp:lastModifiedBy>Doherty, Michael</cp:lastModifiedBy>
  <cp:revision>6</cp:revision>
  <cp:lastPrinted>1999-05-19T19:58:00Z</cp:lastPrinted>
  <dcterms:created xsi:type="dcterms:W3CDTF">2020-09-23T19:27:00Z</dcterms:created>
  <dcterms:modified xsi:type="dcterms:W3CDTF">2020-10-07T19:54:00Z</dcterms:modified>
</cp:coreProperties>
</file>