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D9" w:rsidRDefault="002E3E15">
      <w:pPr>
        <w:pStyle w:val="Title"/>
        <w:shd w:val="clear" w:color="auto" w:fill="C0C0C0"/>
      </w:pPr>
      <w:r>
        <w:t>LNP Problem/Issue Identification and Description Form</w:t>
      </w:r>
    </w:p>
    <w:p w:rsidR="00410AD9" w:rsidRDefault="00410AD9">
      <w:pPr>
        <w:rPr>
          <w:sz w:val="24"/>
        </w:rPr>
      </w:pPr>
    </w:p>
    <w:p w:rsidR="00410AD9" w:rsidRDefault="002E3E15">
      <w:pPr>
        <w:pBdr>
          <w:top w:val="single" w:sz="4" w:space="1" w:color="auto"/>
          <w:left w:val="single" w:sz="4" w:space="4" w:color="auto"/>
          <w:bottom w:val="single" w:sz="4" w:space="1" w:color="auto"/>
          <w:right w:val="single" w:sz="4" w:space="4" w:color="auto"/>
        </w:pBdr>
        <w:rPr>
          <w:rFonts w:ascii="Arial" w:hAnsi="Arial"/>
          <w:b/>
          <w:sz w:val="22"/>
        </w:rPr>
      </w:pPr>
      <w:r>
        <w:rPr>
          <w:rFonts w:ascii="Arial" w:hAnsi="Arial"/>
          <w:b/>
          <w:sz w:val="22"/>
        </w:rPr>
        <w:t>Submittal Date</w:t>
      </w:r>
      <w:r>
        <w:rPr>
          <w:rFonts w:ascii="Arial" w:hAnsi="Arial"/>
          <w:sz w:val="22"/>
        </w:rPr>
        <w:t xml:space="preserve"> (mm/</w:t>
      </w:r>
      <w:proofErr w:type="spellStart"/>
      <w:r>
        <w:rPr>
          <w:rFonts w:ascii="Arial" w:hAnsi="Arial"/>
          <w:sz w:val="22"/>
        </w:rPr>
        <w:t>dd</w:t>
      </w:r>
      <w:proofErr w:type="spellEnd"/>
      <w:r>
        <w:rPr>
          <w:rFonts w:ascii="Arial" w:hAnsi="Arial"/>
          <w:sz w:val="22"/>
        </w:rPr>
        <w:t>/</w:t>
      </w:r>
      <w:proofErr w:type="spellStart"/>
      <w:r>
        <w:rPr>
          <w:rFonts w:ascii="Arial" w:hAnsi="Arial"/>
          <w:sz w:val="22"/>
        </w:rPr>
        <w:t>yyyy</w:t>
      </w:r>
      <w:proofErr w:type="spellEnd"/>
      <w:r>
        <w:rPr>
          <w:rFonts w:ascii="Arial" w:hAnsi="Arial"/>
          <w:sz w:val="22"/>
        </w:rPr>
        <w:t>):  5/27/04</w:t>
      </w:r>
      <w:r>
        <w:rPr>
          <w:rFonts w:ascii="Arial" w:hAnsi="Arial"/>
          <w:sz w:val="22"/>
        </w:rPr>
        <w:tab/>
      </w:r>
      <w:r>
        <w:rPr>
          <w:rFonts w:ascii="Arial" w:hAnsi="Arial"/>
          <w:sz w:val="22"/>
        </w:rPr>
        <w:tab/>
      </w:r>
      <w:r w:rsidR="00CE1E3D">
        <w:rPr>
          <w:rFonts w:ascii="Arial" w:hAnsi="Arial"/>
          <w:sz w:val="22"/>
        </w:rPr>
        <w:tab/>
      </w:r>
      <w:r>
        <w:rPr>
          <w:rFonts w:ascii="Arial" w:hAnsi="Arial"/>
          <w:b/>
          <w:sz w:val="22"/>
        </w:rPr>
        <w:t>PIM # 37 v</w:t>
      </w:r>
      <w:r w:rsidR="00CE1E3D">
        <w:rPr>
          <w:rFonts w:ascii="Arial" w:hAnsi="Arial"/>
          <w:b/>
          <w:sz w:val="22"/>
        </w:rPr>
        <w:t>3</w:t>
      </w:r>
    </w:p>
    <w:p w:rsidR="00410AD9" w:rsidRDefault="002E3E15">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b/>
          <w:sz w:val="22"/>
        </w:rPr>
        <w:t>Company(s) Submitting Issue</w:t>
      </w:r>
      <w:r>
        <w:rPr>
          <w:rFonts w:ascii="Arial" w:hAnsi="Arial"/>
          <w:sz w:val="22"/>
        </w:rPr>
        <w:t>:  Verizon Wireless</w:t>
      </w:r>
    </w:p>
    <w:p w:rsidR="00410AD9" w:rsidRDefault="002E3E15">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b/>
          <w:sz w:val="22"/>
        </w:rPr>
        <w:t xml:space="preserve">Contact(s):    </w:t>
      </w:r>
      <w:proofErr w:type="gramStart"/>
      <w:r>
        <w:rPr>
          <w:rFonts w:ascii="Arial" w:hAnsi="Arial"/>
          <w:b/>
          <w:sz w:val="22"/>
        </w:rPr>
        <w:t>Name</w:t>
      </w:r>
      <w:r>
        <w:rPr>
          <w:rFonts w:ascii="Arial" w:hAnsi="Arial"/>
          <w:sz w:val="22"/>
        </w:rPr>
        <w:t xml:space="preserve">  Julie</w:t>
      </w:r>
      <w:proofErr w:type="gramEnd"/>
      <w:r>
        <w:rPr>
          <w:rFonts w:ascii="Arial" w:hAnsi="Arial"/>
          <w:sz w:val="22"/>
        </w:rPr>
        <w:t xml:space="preserve"> </w:t>
      </w:r>
      <w:proofErr w:type="spellStart"/>
      <w:r>
        <w:rPr>
          <w:rFonts w:ascii="Arial" w:hAnsi="Arial"/>
          <w:sz w:val="22"/>
        </w:rPr>
        <w:t>Groenen</w:t>
      </w:r>
      <w:proofErr w:type="spellEnd"/>
    </w:p>
    <w:p w:rsidR="00410AD9" w:rsidRDefault="002E3E15">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ab/>
        <w:t xml:space="preserve">         </w:t>
      </w:r>
      <w:r>
        <w:rPr>
          <w:rFonts w:ascii="Arial" w:hAnsi="Arial"/>
          <w:b/>
          <w:sz w:val="22"/>
        </w:rPr>
        <w:t>Contact Number</w:t>
      </w:r>
      <w:r>
        <w:rPr>
          <w:rFonts w:ascii="Arial" w:hAnsi="Arial"/>
          <w:sz w:val="22"/>
        </w:rPr>
        <w:t xml:space="preserve">   206-940-1072 cell 425-603-2282 work VM</w:t>
      </w:r>
    </w:p>
    <w:p w:rsidR="00410AD9" w:rsidRDefault="002E3E15">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ab/>
        <w:t xml:space="preserve">         </w:t>
      </w:r>
      <w:r>
        <w:rPr>
          <w:rFonts w:ascii="Arial" w:hAnsi="Arial"/>
          <w:b/>
          <w:sz w:val="22"/>
        </w:rPr>
        <w:t>Email Address</w:t>
      </w:r>
      <w:r>
        <w:rPr>
          <w:rFonts w:ascii="Arial" w:hAnsi="Arial"/>
          <w:sz w:val="22"/>
        </w:rPr>
        <w:t xml:space="preserve">   Julie.Groenen@Verizonwireless.com</w:t>
      </w:r>
    </w:p>
    <w:p w:rsidR="00410AD9" w:rsidRDefault="002E3E15">
      <w:pPr>
        <w:pBdr>
          <w:top w:val="single" w:sz="4" w:space="1" w:color="auto"/>
          <w:left w:val="single" w:sz="4" w:space="4" w:color="auto"/>
          <w:bottom w:val="single" w:sz="4" w:space="1" w:color="auto"/>
          <w:right w:val="single" w:sz="4" w:space="4" w:color="auto"/>
        </w:pBdr>
        <w:rPr>
          <w:rFonts w:ascii="Arial" w:hAnsi="Arial"/>
          <w:b/>
          <w:sz w:val="16"/>
        </w:rPr>
      </w:pPr>
      <w:r>
        <w:rPr>
          <w:rFonts w:ascii="Arial" w:hAnsi="Arial"/>
          <w:b/>
          <w:sz w:val="16"/>
        </w:rPr>
        <w:t>(NOTE: Submitting Company(s) is to complete this section of the form along with Sections 1, 2 and 3.)</w:t>
      </w:r>
    </w:p>
    <w:p w:rsidR="00410AD9" w:rsidRDefault="00410AD9">
      <w:pPr>
        <w:rPr>
          <w:rFonts w:ascii="Arial" w:hAnsi="Arial"/>
          <w:sz w:val="22"/>
          <w:u w:val="single"/>
        </w:rPr>
      </w:pPr>
    </w:p>
    <w:p w:rsidR="00410AD9" w:rsidRDefault="002E3E15">
      <w:pPr>
        <w:numPr>
          <w:ilvl w:val="0"/>
          <w:numId w:val="3"/>
        </w:numPr>
        <w:rPr>
          <w:rFonts w:ascii="Arial" w:hAnsi="Arial"/>
          <w:sz w:val="22"/>
        </w:rPr>
      </w:pPr>
      <w:r>
        <w:rPr>
          <w:rFonts w:ascii="Arial" w:hAnsi="Arial"/>
          <w:b/>
          <w:sz w:val="22"/>
        </w:rPr>
        <w:t>Problem/Issue Statement:</w:t>
      </w:r>
      <w:r>
        <w:rPr>
          <w:rFonts w:ascii="Arial" w:hAnsi="Arial"/>
          <w:sz w:val="22"/>
        </w:rPr>
        <w:t xml:space="preserve"> (Brief statement outlining the problem/issue.)</w:t>
      </w:r>
    </w:p>
    <w:p w:rsidR="00410AD9" w:rsidRDefault="00410AD9">
      <w:pPr>
        <w:pStyle w:val="BodyText"/>
        <w:pBdr>
          <w:top w:val="none" w:sz="0" w:space="0" w:color="auto"/>
          <w:left w:val="none" w:sz="0" w:space="0" w:color="auto"/>
          <w:bottom w:val="none" w:sz="0" w:space="0" w:color="auto"/>
          <w:right w:val="none" w:sz="0" w:space="0" w:color="auto"/>
        </w:pBdr>
        <w:rPr>
          <w:rFonts w:ascii="Arial" w:hAnsi="Arial"/>
          <w:sz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410AD9">
        <w:trPr>
          <w:trHeight w:val="2942"/>
        </w:trPr>
        <w:tc>
          <w:tcPr>
            <w:tcW w:w="8856" w:type="dxa"/>
          </w:tcPr>
          <w:p w:rsidR="00410AD9" w:rsidRDefault="002E3E15">
            <w:pPr>
              <w:pStyle w:val="BodyTextIndent"/>
            </w:pPr>
            <w:r>
              <w:t xml:space="preserve">The intention of this PIM is to discuss minimum industry standards for LNP readiness </w:t>
            </w:r>
          </w:p>
          <w:p w:rsidR="00410AD9" w:rsidRDefault="002E3E15">
            <w:pPr>
              <w:pStyle w:val="BodyTextIndent"/>
            </w:pPr>
            <w:proofErr w:type="gramStart"/>
            <w:r>
              <w:t>that</w:t>
            </w:r>
            <w:proofErr w:type="gramEnd"/>
            <w:r>
              <w:t xml:space="preserve"> must be adhered to by all companies in order to port. The following are concerns </w:t>
            </w:r>
          </w:p>
          <w:p w:rsidR="00410AD9" w:rsidRDefault="002E3E15">
            <w:pPr>
              <w:pStyle w:val="BodyTextIndent"/>
            </w:pPr>
            <w:r>
              <w:t xml:space="preserve">regarding low-tech carrier porting processes: </w:t>
            </w:r>
          </w:p>
          <w:p w:rsidR="00410AD9" w:rsidRDefault="00410AD9">
            <w:pPr>
              <w:pStyle w:val="BodyTextIndent"/>
            </w:pPr>
          </w:p>
          <w:p w:rsidR="00410AD9" w:rsidRDefault="002E3E15">
            <w:pPr>
              <w:pStyle w:val="BodyTextIndent"/>
              <w:numPr>
                <w:ilvl w:val="0"/>
                <w:numId w:val="8"/>
              </w:numPr>
            </w:pPr>
            <w:r>
              <w:rPr>
                <w:b/>
              </w:rPr>
              <w:t xml:space="preserve">Porting with no ICP process: </w:t>
            </w:r>
            <w:r>
              <w:t xml:space="preserve">The concern is regarding smaller carriers using a low-tech porting solution where they do not plan to engage in the ICP process, but do their porting via the SOA only.  In this case carriers plan to give their Confirm for the ICP process via the phone and do not even plan to use Fax when they are the OSP. These carriers are indicating the NSP must call them when ready to Port In their customer and they will in turn call the NPAC to have data provisioned, including the NPA NXX. </w:t>
            </w:r>
          </w:p>
          <w:p w:rsidR="00410AD9" w:rsidRDefault="00410AD9">
            <w:pPr>
              <w:ind w:left="360" w:hanging="360"/>
              <w:rPr>
                <w:rFonts w:ascii="Arial" w:hAnsi="Arial"/>
                <w:sz w:val="22"/>
              </w:rPr>
            </w:pPr>
          </w:p>
          <w:p w:rsidR="00410AD9" w:rsidRDefault="002E3E15">
            <w:pPr>
              <w:ind w:left="1080" w:hanging="360"/>
              <w:rPr>
                <w:rFonts w:ascii="Arial" w:hAnsi="Arial"/>
                <w:sz w:val="22"/>
              </w:rPr>
            </w:pPr>
            <w:r>
              <w:rPr>
                <w:rFonts w:ascii="Arial" w:hAnsi="Arial"/>
                <w:sz w:val="22"/>
              </w:rPr>
              <w:t xml:space="preserve">For Porting Out, automated carriers as the OSP have no way to send a </w:t>
            </w:r>
          </w:p>
          <w:p w:rsidR="00410AD9" w:rsidRDefault="002E3E15">
            <w:pPr>
              <w:ind w:left="1080" w:hanging="360"/>
              <w:rPr>
                <w:rFonts w:ascii="Arial" w:hAnsi="Arial"/>
                <w:sz w:val="22"/>
              </w:rPr>
            </w:pPr>
            <w:r>
              <w:rPr>
                <w:rFonts w:ascii="Arial" w:hAnsi="Arial"/>
                <w:sz w:val="22"/>
              </w:rPr>
              <w:t xml:space="preserve">Confirm unless we force carriers to use Fax or say we will not port the customer?  </w:t>
            </w:r>
          </w:p>
          <w:p w:rsidR="00410AD9" w:rsidRDefault="002E3E15">
            <w:pPr>
              <w:ind w:left="1080" w:hanging="360"/>
              <w:rPr>
                <w:rFonts w:ascii="Arial" w:hAnsi="Arial"/>
                <w:sz w:val="22"/>
              </w:rPr>
            </w:pPr>
            <w:r>
              <w:rPr>
                <w:rFonts w:ascii="Arial" w:hAnsi="Arial"/>
                <w:sz w:val="22"/>
              </w:rPr>
              <w:t xml:space="preserve">Is that possible by the FCC standards?  Can we force carriers to have more than </w:t>
            </w:r>
          </w:p>
          <w:p w:rsidR="00410AD9" w:rsidRDefault="002E3E15">
            <w:pPr>
              <w:ind w:left="1080" w:hanging="360"/>
              <w:rPr>
                <w:rFonts w:ascii="Arial" w:hAnsi="Arial"/>
                <w:sz w:val="22"/>
              </w:rPr>
            </w:pPr>
            <w:proofErr w:type="gramStart"/>
            <w:r>
              <w:rPr>
                <w:rFonts w:ascii="Arial" w:hAnsi="Arial"/>
                <w:sz w:val="22"/>
              </w:rPr>
              <w:t>just</w:t>
            </w:r>
            <w:proofErr w:type="gramEnd"/>
            <w:r>
              <w:rPr>
                <w:rFonts w:ascii="Arial" w:hAnsi="Arial"/>
                <w:sz w:val="22"/>
              </w:rPr>
              <w:t xml:space="preserve"> a SOA only solution? </w:t>
            </w:r>
          </w:p>
          <w:p w:rsidR="00410AD9" w:rsidRDefault="002E3E15">
            <w:pPr>
              <w:ind w:left="360"/>
              <w:rPr>
                <w:rFonts w:ascii="Arial" w:hAnsi="Arial"/>
                <w:sz w:val="22"/>
              </w:rPr>
            </w:pPr>
            <w:r>
              <w:rPr>
                <w:rFonts w:ascii="Arial" w:hAnsi="Arial"/>
                <w:sz w:val="22"/>
              </w:rPr>
              <w:t xml:space="preserve"> </w:t>
            </w:r>
          </w:p>
        </w:tc>
      </w:tr>
    </w:tbl>
    <w:p w:rsidR="00410AD9" w:rsidRDefault="00410AD9">
      <w:pPr>
        <w:pStyle w:val="BodyText"/>
        <w:pBdr>
          <w:top w:val="none" w:sz="0" w:space="0" w:color="auto"/>
          <w:left w:val="none" w:sz="0" w:space="0" w:color="auto"/>
          <w:bottom w:val="none" w:sz="0" w:space="0" w:color="auto"/>
          <w:right w:val="none" w:sz="0" w:space="0" w:color="auto"/>
        </w:pBdr>
        <w:rPr>
          <w:rFonts w:ascii="Arial" w:hAnsi="Arial"/>
          <w:sz w:val="22"/>
          <w:u w:val="none"/>
        </w:rPr>
      </w:pPr>
    </w:p>
    <w:p w:rsidR="00410AD9" w:rsidRDefault="00410AD9">
      <w:pPr>
        <w:pStyle w:val="BodyText"/>
        <w:pBdr>
          <w:top w:val="none" w:sz="0" w:space="0" w:color="auto"/>
          <w:left w:val="none" w:sz="0" w:space="0" w:color="auto"/>
          <w:bottom w:val="none" w:sz="0" w:space="0" w:color="auto"/>
          <w:right w:val="none" w:sz="0" w:space="0" w:color="auto"/>
        </w:pBdr>
        <w:rPr>
          <w:rFonts w:ascii="Arial" w:hAnsi="Arial"/>
          <w:sz w:val="22"/>
          <w:u w:val="none"/>
        </w:rPr>
      </w:pPr>
    </w:p>
    <w:p w:rsidR="00410AD9" w:rsidRDefault="002E3E15">
      <w:pPr>
        <w:pStyle w:val="BodyText"/>
        <w:numPr>
          <w:ilvl w:val="0"/>
          <w:numId w:val="2"/>
        </w:numPr>
        <w:pBdr>
          <w:top w:val="none" w:sz="0" w:space="0" w:color="auto"/>
          <w:left w:val="none" w:sz="0" w:space="0" w:color="auto"/>
          <w:bottom w:val="none" w:sz="0" w:space="0" w:color="auto"/>
          <w:right w:val="none" w:sz="0" w:space="0" w:color="auto"/>
        </w:pBdr>
        <w:rPr>
          <w:rFonts w:ascii="Arial" w:hAnsi="Arial"/>
          <w:sz w:val="22"/>
          <w:u w:val="none"/>
        </w:rPr>
      </w:pPr>
      <w:r>
        <w:rPr>
          <w:rFonts w:ascii="Arial" w:hAnsi="Arial"/>
          <w:b/>
          <w:sz w:val="22"/>
          <w:u w:val="none"/>
        </w:rPr>
        <w:t>Problem/Issue Description:</w:t>
      </w:r>
      <w:r>
        <w:rPr>
          <w:rFonts w:ascii="Arial" w:hAnsi="Arial"/>
          <w:sz w:val="22"/>
          <w:u w:val="none"/>
        </w:rPr>
        <w:t xml:space="preserve"> (Provide detailed description of problem/issue.)</w:t>
      </w:r>
    </w:p>
    <w:p w:rsidR="00410AD9" w:rsidRDefault="00410AD9">
      <w:pPr>
        <w:pStyle w:val="BodyText"/>
        <w:pBdr>
          <w:top w:val="none" w:sz="0" w:space="0" w:color="auto"/>
          <w:left w:val="none" w:sz="0" w:space="0" w:color="auto"/>
          <w:bottom w:val="none" w:sz="0" w:space="0" w:color="auto"/>
          <w:right w:val="none" w:sz="0" w:space="0" w:color="auto"/>
        </w:pBdr>
        <w:rPr>
          <w:rFonts w:ascii="Arial" w:hAnsi="Arial"/>
          <w:sz w:val="22"/>
          <w:u w:val="none"/>
        </w:rPr>
      </w:pPr>
    </w:p>
    <w:p w:rsidR="00410AD9" w:rsidRDefault="002E3E15">
      <w:pPr>
        <w:pStyle w:val="BodyText2"/>
        <w:numPr>
          <w:ilvl w:val="0"/>
          <w:numId w:val="4"/>
        </w:numPr>
        <w:tabs>
          <w:tab w:val="clear" w:pos="360"/>
          <w:tab w:val="num" w:pos="-90"/>
        </w:tabs>
        <w:rPr>
          <w:rFonts w:ascii="Arial" w:hAnsi="Arial"/>
          <w:sz w:val="22"/>
        </w:rPr>
      </w:pPr>
      <w:r>
        <w:rPr>
          <w:rFonts w:ascii="Arial" w:hAnsi="Arial"/>
          <w:b/>
          <w:sz w:val="22"/>
        </w:rPr>
        <w:t xml:space="preserve">Examples &amp; Impacts of Problem/Issue:  </w:t>
      </w:r>
      <w:r>
        <w:rPr>
          <w:rFonts w:ascii="Arial" w:hAnsi="Arial"/>
          <w:sz w:val="22"/>
        </w:rPr>
        <w:t xml:space="preserve">  </w:t>
      </w:r>
    </w:p>
    <w:p w:rsidR="00410AD9" w:rsidRDefault="00410AD9">
      <w:pPr>
        <w:pStyle w:val="BodyText2"/>
        <w:rPr>
          <w:rFonts w:ascii="Arial" w:hAnsi="Arial"/>
          <w:sz w:val="22"/>
        </w:rPr>
      </w:pPr>
    </w:p>
    <w:p w:rsidR="00410AD9" w:rsidRDefault="002E3E15">
      <w:pPr>
        <w:pStyle w:val="BodyText2"/>
        <w:rPr>
          <w:rFonts w:ascii="Arial" w:hAnsi="Arial"/>
          <w:sz w:val="22"/>
        </w:rPr>
      </w:pPr>
      <w:r>
        <w:rPr>
          <w:rFonts w:ascii="Arial" w:hAnsi="Arial"/>
          <w:sz w:val="22"/>
        </w:rPr>
        <w:t xml:space="preserve">The following are examples of the impacts the above issues create: </w:t>
      </w:r>
    </w:p>
    <w:p w:rsidR="00410AD9" w:rsidRDefault="00410AD9">
      <w:pPr>
        <w:pStyle w:val="BodyText2"/>
        <w:rPr>
          <w:rFonts w:ascii="Arial" w:hAnsi="Arial"/>
          <w:sz w:val="22"/>
        </w:rPr>
      </w:pPr>
    </w:p>
    <w:p w:rsidR="00410AD9" w:rsidRDefault="002E3E15">
      <w:pPr>
        <w:pStyle w:val="BodyText2"/>
        <w:rPr>
          <w:rFonts w:ascii="Arial" w:hAnsi="Arial"/>
          <w:b/>
          <w:sz w:val="22"/>
        </w:rPr>
      </w:pPr>
      <w:r>
        <w:rPr>
          <w:rFonts w:ascii="Arial" w:hAnsi="Arial"/>
          <w:b/>
          <w:sz w:val="22"/>
        </w:rPr>
        <w:t>1.   Porting with no ICP process:</w:t>
      </w:r>
    </w:p>
    <w:p w:rsidR="00410AD9" w:rsidRDefault="00410AD9">
      <w:pPr>
        <w:pStyle w:val="BodyText2"/>
        <w:rPr>
          <w:rFonts w:ascii="Arial" w:hAnsi="Arial"/>
          <w:sz w:val="22"/>
        </w:rPr>
      </w:pPr>
    </w:p>
    <w:p w:rsidR="00410AD9" w:rsidRDefault="002E3E15">
      <w:pPr>
        <w:pStyle w:val="BodyText2"/>
        <w:ind w:firstLine="720"/>
        <w:rPr>
          <w:rFonts w:ascii="Arial" w:hAnsi="Arial"/>
          <w:sz w:val="22"/>
        </w:rPr>
      </w:pPr>
      <w:proofErr w:type="gramStart"/>
      <w:r>
        <w:rPr>
          <w:rFonts w:ascii="Arial" w:hAnsi="Arial"/>
          <w:sz w:val="22"/>
        </w:rPr>
        <w:t>a.  No</w:t>
      </w:r>
      <w:proofErr w:type="gramEnd"/>
      <w:r>
        <w:rPr>
          <w:rFonts w:ascii="Arial" w:hAnsi="Arial"/>
          <w:sz w:val="22"/>
        </w:rPr>
        <w:t xml:space="preserve"> written (fax) or electronic documentation exists to substantiate that the port </w:t>
      </w:r>
    </w:p>
    <w:p w:rsidR="00410AD9" w:rsidRDefault="002E3E15">
      <w:pPr>
        <w:pStyle w:val="BodyText2"/>
        <w:ind w:firstLine="720"/>
        <w:rPr>
          <w:rFonts w:ascii="Arial" w:hAnsi="Arial"/>
          <w:sz w:val="22"/>
        </w:rPr>
      </w:pPr>
      <w:r>
        <w:rPr>
          <w:rFonts w:ascii="Arial" w:hAnsi="Arial"/>
          <w:sz w:val="22"/>
        </w:rPr>
        <w:t xml:space="preserve">     </w:t>
      </w:r>
      <w:proofErr w:type="gramStart"/>
      <w:r>
        <w:rPr>
          <w:rFonts w:ascii="Arial" w:hAnsi="Arial"/>
          <w:sz w:val="22"/>
        </w:rPr>
        <w:t>was</w:t>
      </w:r>
      <w:proofErr w:type="gramEnd"/>
      <w:r>
        <w:rPr>
          <w:rFonts w:ascii="Arial" w:hAnsi="Arial"/>
          <w:sz w:val="22"/>
        </w:rPr>
        <w:t xml:space="preserve"> authorized and a Confirm took place. This is an OBF standard for LNP for </w:t>
      </w:r>
    </w:p>
    <w:p w:rsidR="00410AD9" w:rsidRDefault="002E3E15">
      <w:pPr>
        <w:pStyle w:val="BodyText2"/>
        <w:ind w:firstLine="720"/>
        <w:rPr>
          <w:rFonts w:ascii="Arial" w:hAnsi="Arial"/>
          <w:sz w:val="22"/>
        </w:rPr>
      </w:pPr>
      <w:r>
        <w:rPr>
          <w:rFonts w:ascii="Arial" w:hAnsi="Arial"/>
          <w:sz w:val="22"/>
        </w:rPr>
        <w:t xml:space="preserve">     </w:t>
      </w:r>
      <w:proofErr w:type="gramStart"/>
      <w:r>
        <w:rPr>
          <w:rFonts w:ascii="Arial" w:hAnsi="Arial"/>
          <w:sz w:val="22"/>
        </w:rPr>
        <w:t>both</w:t>
      </w:r>
      <w:proofErr w:type="gramEnd"/>
      <w:r>
        <w:rPr>
          <w:rFonts w:ascii="Arial" w:hAnsi="Arial"/>
          <w:sz w:val="22"/>
        </w:rPr>
        <w:t xml:space="preserve"> wireless and wireline providers.</w:t>
      </w:r>
    </w:p>
    <w:p w:rsidR="00410AD9" w:rsidRDefault="00410AD9">
      <w:pPr>
        <w:pStyle w:val="BodyText2"/>
        <w:ind w:firstLine="720"/>
        <w:rPr>
          <w:rFonts w:ascii="Arial" w:hAnsi="Arial"/>
          <w:sz w:val="22"/>
        </w:rPr>
      </w:pPr>
    </w:p>
    <w:p w:rsidR="00410AD9" w:rsidRDefault="002E3E15">
      <w:pPr>
        <w:pStyle w:val="BodyText2"/>
        <w:ind w:firstLine="720"/>
        <w:rPr>
          <w:rFonts w:ascii="Arial" w:hAnsi="Arial"/>
          <w:sz w:val="22"/>
        </w:rPr>
      </w:pPr>
      <w:proofErr w:type="gramStart"/>
      <w:r>
        <w:rPr>
          <w:rFonts w:ascii="Arial" w:hAnsi="Arial"/>
          <w:sz w:val="22"/>
        </w:rPr>
        <w:t>b.  No</w:t>
      </w:r>
      <w:proofErr w:type="gramEnd"/>
      <w:r>
        <w:rPr>
          <w:rFonts w:ascii="Arial" w:hAnsi="Arial"/>
          <w:sz w:val="22"/>
        </w:rPr>
        <w:t xml:space="preserve"> statement in Box 5, 8 &amp; 9 of LSR/FOC NANC Flows that must be </w:t>
      </w:r>
    </w:p>
    <w:p w:rsidR="00410AD9" w:rsidRDefault="002E3E15">
      <w:pPr>
        <w:pStyle w:val="BodyText2"/>
        <w:ind w:firstLine="720"/>
        <w:rPr>
          <w:rFonts w:ascii="Arial" w:hAnsi="Arial"/>
          <w:sz w:val="22"/>
        </w:rPr>
      </w:pPr>
      <w:r>
        <w:rPr>
          <w:rFonts w:ascii="Arial" w:hAnsi="Arial"/>
          <w:sz w:val="22"/>
        </w:rPr>
        <w:t xml:space="preserve">     </w:t>
      </w:r>
      <w:proofErr w:type="gramStart"/>
      <w:r>
        <w:rPr>
          <w:rFonts w:ascii="Arial" w:hAnsi="Arial"/>
          <w:sz w:val="22"/>
        </w:rPr>
        <w:t>electronic</w:t>
      </w:r>
      <w:proofErr w:type="gramEnd"/>
      <w:r>
        <w:rPr>
          <w:rFonts w:ascii="Arial" w:hAnsi="Arial"/>
          <w:sz w:val="22"/>
        </w:rPr>
        <w:t xml:space="preserve"> or manual (fax or e-mail). Manual did not mean a phone call. No </w:t>
      </w:r>
    </w:p>
    <w:p w:rsidR="00410AD9" w:rsidRDefault="002E3E15">
      <w:pPr>
        <w:pStyle w:val="BodyText2"/>
        <w:ind w:firstLine="720"/>
        <w:rPr>
          <w:rFonts w:ascii="Arial" w:hAnsi="Arial"/>
          <w:sz w:val="22"/>
        </w:rPr>
      </w:pPr>
      <w:r>
        <w:rPr>
          <w:rFonts w:ascii="Arial" w:hAnsi="Arial"/>
          <w:sz w:val="22"/>
        </w:rPr>
        <w:t xml:space="preserve">     </w:t>
      </w:r>
      <w:proofErr w:type="gramStart"/>
      <w:r>
        <w:rPr>
          <w:rFonts w:ascii="Arial" w:hAnsi="Arial"/>
          <w:sz w:val="22"/>
        </w:rPr>
        <w:t>statement</w:t>
      </w:r>
      <w:proofErr w:type="gramEnd"/>
      <w:r>
        <w:rPr>
          <w:rFonts w:ascii="Arial" w:hAnsi="Arial"/>
          <w:sz w:val="22"/>
        </w:rPr>
        <w:t xml:space="preserve"> in Box 3 &amp; 5 of Wireless ICP Communication Flow that ICP based </w:t>
      </w:r>
    </w:p>
    <w:p w:rsidR="00410AD9" w:rsidRDefault="002E3E15">
      <w:pPr>
        <w:pStyle w:val="BodyText2"/>
        <w:ind w:firstLine="720"/>
        <w:rPr>
          <w:rFonts w:ascii="Arial" w:hAnsi="Arial"/>
          <w:sz w:val="22"/>
        </w:rPr>
      </w:pPr>
      <w:r>
        <w:rPr>
          <w:rFonts w:ascii="Arial" w:hAnsi="Arial"/>
          <w:sz w:val="22"/>
        </w:rPr>
        <w:t xml:space="preserve">     </w:t>
      </w:r>
      <w:proofErr w:type="gramStart"/>
      <w:r>
        <w:rPr>
          <w:rFonts w:ascii="Arial" w:hAnsi="Arial"/>
          <w:sz w:val="22"/>
        </w:rPr>
        <w:t>on</w:t>
      </w:r>
      <w:proofErr w:type="gramEnd"/>
      <w:r>
        <w:rPr>
          <w:rFonts w:ascii="Arial" w:hAnsi="Arial"/>
          <w:sz w:val="22"/>
        </w:rPr>
        <w:t xml:space="preserve"> OBF (specifically WICIS) standards for WPR.</w:t>
      </w:r>
    </w:p>
    <w:p w:rsidR="00410AD9" w:rsidRDefault="00410AD9">
      <w:pPr>
        <w:pStyle w:val="BodyText2"/>
        <w:ind w:firstLine="720"/>
        <w:rPr>
          <w:rFonts w:ascii="Arial" w:hAnsi="Arial"/>
          <w:sz w:val="22"/>
        </w:rPr>
      </w:pPr>
    </w:p>
    <w:p w:rsidR="00410AD9" w:rsidRDefault="002E3E15">
      <w:pPr>
        <w:pStyle w:val="BodyText2"/>
        <w:ind w:firstLine="720"/>
        <w:rPr>
          <w:rFonts w:ascii="Arial" w:hAnsi="Arial"/>
          <w:sz w:val="22"/>
        </w:rPr>
      </w:pPr>
      <w:proofErr w:type="gramStart"/>
      <w:r>
        <w:rPr>
          <w:rFonts w:ascii="Arial" w:hAnsi="Arial"/>
          <w:sz w:val="22"/>
        </w:rPr>
        <w:t>c.  Highly</w:t>
      </w:r>
      <w:proofErr w:type="gramEnd"/>
      <w:r>
        <w:rPr>
          <w:rFonts w:ascii="Arial" w:hAnsi="Arial"/>
          <w:sz w:val="22"/>
        </w:rPr>
        <w:t xml:space="preserve"> automated carriers will need to either create some manual process for </w:t>
      </w:r>
    </w:p>
    <w:p w:rsidR="00410AD9" w:rsidRDefault="002E3E15">
      <w:pPr>
        <w:pStyle w:val="BodyText2"/>
        <w:ind w:firstLine="720"/>
        <w:rPr>
          <w:rFonts w:ascii="Arial" w:hAnsi="Arial"/>
          <w:sz w:val="22"/>
        </w:rPr>
      </w:pPr>
      <w:r>
        <w:rPr>
          <w:rFonts w:ascii="Arial" w:hAnsi="Arial"/>
          <w:sz w:val="22"/>
        </w:rPr>
        <w:t xml:space="preserve">     SOA only transactions or figure out how to send a “generic” Confirm to </w:t>
      </w:r>
    </w:p>
    <w:p w:rsidR="00410AD9" w:rsidRDefault="002E3E15">
      <w:pPr>
        <w:pStyle w:val="BodyText2"/>
        <w:ind w:firstLine="720"/>
        <w:rPr>
          <w:rFonts w:ascii="Arial" w:hAnsi="Arial"/>
          <w:sz w:val="22"/>
        </w:rPr>
      </w:pPr>
      <w:r>
        <w:rPr>
          <w:rFonts w:ascii="Arial" w:hAnsi="Arial"/>
          <w:sz w:val="22"/>
        </w:rPr>
        <w:t xml:space="preserve">     </w:t>
      </w:r>
      <w:proofErr w:type="gramStart"/>
      <w:r>
        <w:rPr>
          <w:rFonts w:ascii="Arial" w:hAnsi="Arial"/>
          <w:sz w:val="22"/>
        </w:rPr>
        <w:t>themselves</w:t>
      </w:r>
      <w:proofErr w:type="gramEnd"/>
      <w:r>
        <w:rPr>
          <w:rFonts w:ascii="Arial" w:hAnsi="Arial"/>
          <w:sz w:val="22"/>
        </w:rPr>
        <w:t xml:space="preserve"> within their automated process flow.</w:t>
      </w:r>
    </w:p>
    <w:p w:rsidR="00410AD9" w:rsidRDefault="002E3E15">
      <w:pPr>
        <w:pStyle w:val="BodyText2"/>
        <w:numPr>
          <w:ilvl w:val="0"/>
          <w:numId w:val="4"/>
        </w:numPr>
        <w:rPr>
          <w:rFonts w:ascii="Arial" w:hAnsi="Arial"/>
          <w:sz w:val="22"/>
        </w:rPr>
      </w:pPr>
      <w:r>
        <w:rPr>
          <w:rFonts w:ascii="Arial" w:hAnsi="Arial"/>
          <w:b/>
          <w:sz w:val="22"/>
        </w:rPr>
        <w:lastRenderedPageBreak/>
        <w:t>Frequency of Occurrence:</w:t>
      </w:r>
      <w:r>
        <w:rPr>
          <w:rFonts w:ascii="Arial" w:hAnsi="Arial"/>
          <w:sz w:val="22"/>
        </w:rPr>
        <w:t xml:space="preserve">  </w:t>
      </w:r>
    </w:p>
    <w:p w:rsidR="00410AD9" w:rsidRDefault="00410AD9">
      <w:pPr>
        <w:pStyle w:val="BodyText2"/>
        <w:rPr>
          <w:rFonts w:ascii="Arial" w:hAnsi="Arial"/>
          <w:sz w:val="22"/>
        </w:rPr>
      </w:pPr>
    </w:p>
    <w:p w:rsidR="00410AD9" w:rsidRDefault="002E3E15">
      <w:pPr>
        <w:pStyle w:val="BodyText2"/>
        <w:rPr>
          <w:rFonts w:ascii="Arial" w:hAnsi="Arial"/>
          <w:sz w:val="22"/>
        </w:rPr>
      </w:pPr>
      <w:r>
        <w:rPr>
          <w:rFonts w:ascii="Arial" w:hAnsi="Arial"/>
          <w:sz w:val="22"/>
        </w:rPr>
        <w:t xml:space="preserve">The issues would occur for each port by the low-tech carrier to another automated carrier. </w:t>
      </w:r>
    </w:p>
    <w:p w:rsidR="00410AD9" w:rsidRDefault="00410AD9">
      <w:pPr>
        <w:rPr>
          <w:rFonts w:ascii="Arial" w:hAnsi="Arial"/>
          <w:sz w:val="22"/>
        </w:rPr>
      </w:pPr>
    </w:p>
    <w:p w:rsidR="00410AD9" w:rsidRDefault="002E3E15">
      <w:pPr>
        <w:pStyle w:val="BodyText2"/>
        <w:rPr>
          <w:rFonts w:ascii="Arial" w:hAnsi="Arial"/>
          <w:sz w:val="22"/>
        </w:rPr>
      </w:pPr>
      <w:r>
        <w:rPr>
          <w:rFonts w:ascii="Arial" w:hAnsi="Arial"/>
          <w:b/>
          <w:sz w:val="22"/>
        </w:rPr>
        <w:t>NPAC Regions Impacted</w:t>
      </w:r>
      <w:r>
        <w:rPr>
          <w:rFonts w:ascii="Arial" w:hAnsi="Arial"/>
          <w:sz w:val="22"/>
        </w:rPr>
        <w:t>: All</w:t>
      </w:r>
    </w:p>
    <w:p w:rsidR="00410AD9" w:rsidRDefault="00410AD9">
      <w:pPr>
        <w:rPr>
          <w:rFonts w:ascii="Arial" w:hAnsi="Arial"/>
          <w:sz w:val="22"/>
        </w:rPr>
      </w:pPr>
    </w:p>
    <w:p w:rsidR="00410AD9" w:rsidRDefault="002E3E15">
      <w:pPr>
        <w:pStyle w:val="BodyText2"/>
        <w:numPr>
          <w:ilvl w:val="0"/>
          <w:numId w:val="1"/>
        </w:numPr>
        <w:rPr>
          <w:rFonts w:ascii="Arial" w:hAnsi="Arial"/>
          <w:sz w:val="22"/>
        </w:rPr>
      </w:pPr>
      <w:r>
        <w:rPr>
          <w:rFonts w:ascii="Arial" w:hAnsi="Arial"/>
          <w:b/>
          <w:sz w:val="22"/>
        </w:rPr>
        <w:t>Rationale why existing process is deficient:</w:t>
      </w:r>
      <w:r>
        <w:rPr>
          <w:rFonts w:ascii="Arial" w:hAnsi="Arial"/>
          <w:sz w:val="22"/>
        </w:rPr>
        <w:t xml:space="preserve">  </w:t>
      </w:r>
    </w:p>
    <w:p w:rsidR="00410AD9" w:rsidRDefault="00410AD9">
      <w:pPr>
        <w:pStyle w:val="BodyText2"/>
        <w:rPr>
          <w:rFonts w:ascii="Arial" w:hAnsi="Arial"/>
          <w:sz w:val="22"/>
        </w:rPr>
      </w:pPr>
    </w:p>
    <w:p w:rsidR="00410AD9" w:rsidRDefault="002E3E15">
      <w:pPr>
        <w:pStyle w:val="BodyText2"/>
        <w:numPr>
          <w:ilvl w:val="0"/>
          <w:numId w:val="1"/>
        </w:numPr>
        <w:rPr>
          <w:rFonts w:ascii="Arial" w:hAnsi="Arial"/>
          <w:sz w:val="22"/>
        </w:rPr>
      </w:pPr>
      <w:proofErr w:type="spellStart"/>
      <w:proofErr w:type="gramStart"/>
      <w:r>
        <w:rPr>
          <w:rFonts w:ascii="Arial" w:hAnsi="Arial"/>
          <w:sz w:val="22"/>
        </w:rPr>
        <w:t>Carrier’s</w:t>
      </w:r>
      <w:proofErr w:type="spellEnd"/>
      <w:proofErr w:type="gramEnd"/>
      <w:r>
        <w:rPr>
          <w:rFonts w:ascii="Arial" w:hAnsi="Arial"/>
          <w:sz w:val="22"/>
        </w:rPr>
        <w:t xml:space="preserve"> are not using industry standard processes already created based on NANC flows and OBF standards. These standards already accommodate carriers who use low-tech or manual solutions. These standards must be employed to resolve the above issues. </w:t>
      </w:r>
    </w:p>
    <w:p w:rsidR="00410AD9" w:rsidRDefault="00410AD9">
      <w:pPr>
        <w:rPr>
          <w:rFonts w:ascii="Arial" w:hAnsi="Arial"/>
          <w:sz w:val="22"/>
        </w:rPr>
      </w:pPr>
    </w:p>
    <w:p w:rsidR="00410AD9" w:rsidRDefault="00410AD9">
      <w:pPr>
        <w:rPr>
          <w:rFonts w:ascii="Arial" w:hAnsi="Arial"/>
          <w:sz w:val="22"/>
        </w:rPr>
      </w:pPr>
    </w:p>
    <w:p w:rsidR="00410AD9" w:rsidRDefault="002E3E15">
      <w:pPr>
        <w:pStyle w:val="BodyText2"/>
        <w:rPr>
          <w:rFonts w:ascii="Arial" w:hAnsi="Arial"/>
          <w:sz w:val="22"/>
        </w:rPr>
      </w:pPr>
      <w:r>
        <w:rPr>
          <w:rFonts w:ascii="Arial" w:hAnsi="Arial"/>
          <w:b/>
          <w:sz w:val="22"/>
        </w:rPr>
        <w:t xml:space="preserve">Identify action taken in other committees / forums: </w:t>
      </w:r>
      <w:r>
        <w:rPr>
          <w:rFonts w:ascii="Arial" w:hAnsi="Arial"/>
          <w:sz w:val="22"/>
        </w:rPr>
        <w:t xml:space="preserve">Issues were raised on CTIA calls. </w:t>
      </w:r>
    </w:p>
    <w:p w:rsidR="00410AD9" w:rsidRDefault="00410AD9">
      <w:pPr>
        <w:rPr>
          <w:rFonts w:ascii="Arial" w:hAnsi="Arial"/>
          <w:sz w:val="22"/>
        </w:rPr>
      </w:pPr>
    </w:p>
    <w:p w:rsidR="00410AD9" w:rsidRDefault="00410AD9">
      <w:pPr>
        <w:rPr>
          <w:rFonts w:ascii="Arial" w:hAnsi="Arial"/>
          <w:sz w:val="22"/>
        </w:rPr>
      </w:pPr>
    </w:p>
    <w:p w:rsidR="00410AD9" w:rsidRDefault="002E3E15">
      <w:pPr>
        <w:numPr>
          <w:ilvl w:val="0"/>
          <w:numId w:val="2"/>
        </w:numPr>
        <w:rPr>
          <w:rFonts w:ascii="Arial" w:hAnsi="Arial"/>
          <w:sz w:val="22"/>
        </w:rPr>
      </w:pPr>
      <w:r>
        <w:rPr>
          <w:rFonts w:ascii="Arial" w:hAnsi="Arial"/>
          <w:b/>
          <w:sz w:val="22"/>
        </w:rPr>
        <w:t>Suggested Resolution:</w:t>
      </w:r>
      <w:r>
        <w:rPr>
          <w:rFonts w:ascii="Arial" w:hAnsi="Arial"/>
          <w:sz w:val="22"/>
        </w:rPr>
        <w:t xml:space="preserve"> </w:t>
      </w:r>
    </w:p>
    <w:p w:rsidR="00410AD9" w:rsidRDefault="00410AD9">
      <w:pPr>
        <w:rPr>
          <w:rFonts w:ascii="Arial" w:hAnsi="Arial"/>
          <w:sz w:val="22"/>
        </w:rPr>
      </w:pPr>
    </w:p>
    <w:p w:rsidR="00410AD9" w:rsidRDefault="002E3E15">
      <w:pPr>
        <w:pStyle w:val="BodyText3"/>
        <w:rPr>
          <w:rFonts w:ascii="Arial" w:hAnsi="Arial"/>
          <w:sz w:val="22"/>
        </w:rPr>
      </w:pPr>
      <w:r>
        <w:rPr>
          <w:rFonts w:ascii="Arial" w:hAnsi="Arial"/>
          <w:sz w:val="22"/>
        </w:rPr>
        <w:t xml:space="preserve">The suggested resolution is to clearly define industry standards for low-tech carriers at the NANC and perhaps NAPM LLC level so as to be addressed and potentially enforced by the FCC.   The suggestion for each issue is noted as follows: </w:t>
      </w:r>
    </w:p>
    <w:p w:rsidR="00410AD9" w:rsidRDefault="00410AD9">
      <w:pPr>
        <w:pStyle w:val="BodyText3"/>
        <w:rPr>
          <w:rFonts w:ascii="Arial" w:hAnsi="Arial"/>
          <w:sz w:val="22"/>
        </w:rPr>
      </w:pPr>
    </w:p>
    <w:p w:rsidR="00410AD9" w:rsidRDefault="002E3E15">
      <w:pPr>
        <w:pStyle w:val="BodyText3"/>
        <w:rPr>
          <w:rFonts w:ascii="Arial" w:hAnsi="Arial"/>
          <w:b/>
          <w:sz w:val="22"/>
        </w:rPr>
      </w:pPr>
      <w:r>
        <w:rPr>
          <w:rFonts w:ascii="Arial" w:hAnsi="Arial"/>
          <w:b/>
          <w:sz w:val="22"/>
        </w:rPr>
        <w:t>Porting with no ICP process:</w:t>
      </w:r>
    </w:p>
    <w:p w:rsidR="00410AD9" w:rsidRDefault="00410AD9">
      <w:pPr>
        <w:pStyle w:val="BodyText3"/>
        <w:rPr>
          <w:rFonts w:ascii="Arial" w:hAnsi="Arial"/>
          <w:sz w:val="22"/>
        </w:rPr>
      </w:pPr>
    </w:p>
    <w:p w:rsidR="00410AD9" w:rsidRDefault="002E3E15">
      <w:pPr>
        <w:pStyle w:val="BodyText2"/>
        <w:rPr>
          <w:rFonts w:ascii="Arial" w:hAnsi="Arial"/>
          <w:sz w:val="22"/>
        </w:rPr>
      </w:pPr>
      <w:r>
        <w:rPr>
          <w:rFonts w:ascii="Arial" w:hAnsi="Arial"/>
          <w:sz w:val="22"/>
        </w:rPr>
        <w:t xml:space="preserve">Clearly define a statement in Box 5, 8 &amp; 9 of LSR/FOC NANC Flows that ICP must be </w:t>
      </w:r>
    </w:p>
    <w:p w:rsidR="00410AD9" w:rsidRDefault="002E3E15">
      <w:pPr>
        <w:pStyle w:val="BodyText2"/>
        <w:rPr>
          <w:rFonts w:ascii="Arial" w:hAnsi="Arial"/>
          <w:sz w:val="22"/>
        </w:rPr>
      </w:pPr>
      <w:proofErr w:type="gramStart"/>
      <w:r>
        <w:rPr>
          <w:rFonts w:ascii="Arial" w:hAnsi="Arial"/>
          <w:sz w:val="22"/>
        </w:rPr>
        <w:t>electronic</w:t>
      </w:r>
      <w:proofErr w:type="gramEnd"/>
      <w:r>
        <w:rPr>
          <w:rFonts w:ascii="Arial" w:hAnsi="Arial"/>
          <w:sz w:val="22"/>
        </w:rPr>
        <w:t xml:space="preserve"> or manual (fax or e-mail). Manual did not mean a phone call. Add a statement in Box 3 &amp; 5 of Wireless ICP Communication Flow that ICP based on OBF (specifically WICIS) standards for WPR.</w:t>
      </w:r>
    </w:p>
    <w:p w:rsidR="00410AD9" w:rsidRDefault="00410AD9">
      <w:pPr>
        <w:pStyle w:val="BodyText3"/>
        <w:rPr>
          <w:rFonts w:ascii="Arial" w:hAnsi="Arial"/>
          <w:sz w:val="22"/>
        </w:rPr>
      </w:pPr>
    </w:p>
    <w:p w:rsidR="00410AD9" w:rsidRDefault="00410AD9">
      <w:pPr>
        <w:rPr>
          <w:rFonts w:ascii="Arial" w:hAnsi="Arial"/>
          <w:sz w:val="22"/>
        </w:rPr>
      </w:pPr>
    </w:p>
    <w:p w:rsidR="00CE1E3D" w:rsidRPr="00EE728F" w:rsidRDefault="00CE1E3D" w:rsidP="00CE1E3D">
      <w:pPr>
        <w:pStyle w:val="ListParagraph"/>
        <w:numPr>
          <w:ilvl w:val="0"/>
          <w:numId w:val="2"/>
        </w:numPr>
      </w:pPr>
      <w:r w:rsidRPr="009469C7">
        <w:rPr>
          <w:b/>
        </w:rPr>
        <w:t>Final Resolution:</w:t>
      </w:r>
    </w:p>
    <w:p w:rsidR="00CE1E3D" w:rsidRPr="00EE728F" w:rsidRDefault="00CE1E3D" w:rsidP="00CE1E3D">
      <w:pPr>
        <w:ind w:left="360"/>
      </w:pPr>
    </w:p>
    <w:p w:rsidR="00CE1E3D" w:rsidRPr="00EE728F" w:rsidRDefault="00BC5687" w:rsidP="00BC5687">
      <w:pPr>
        <w:pStyle w:val="BodyText3"/>
      </w:pPr>
      <w:r w:rsidRPr="00BC5687">
        <w:rPr>
          <w:rFonts w:ascii="Arial" w:hAnsi="Arial"/>
          <w:sz w:val="22"/>
        </w:rPr>
        <w:t>This PIM was withdrawn by the submitter at the July 2004 meeting</w:t>
      </w:r>
      <w:r>
        <w:rPr>
          <w:sz w:val="18"/>
          <w:szCs w:val="18"/>
        </w:rPr>
        <w:t xml:space="preserve">. </w:t>
      </w:r>
      <w:r w:rsidR="00CE1E3D">
        <w:t xml:space="preserve"> </w:t>
      </w:r>
    </w:p>
    <w:p w:rsidR="00CE1E3D" w:rsidRDefault="00CE1E3D" w:rsidP="00CE1E3D">
      <w:pPr>
        <w:rPr>
          <w:sz w:val="24"/>
        </w:rPr>
      </w:pPr>
    </w:p>
    <w:p w:rsidR="00CE1E3D" w:rsidRDefault="00CE1E3D">
      <w:pPr>
        <w:rPr>
          <w:rFonts w:ascii="Arial" w:hAnsi="Arial"/>
          <w:sz w:val="22"/>
        </w:rPr>
      </w:pPr>
    </w:p>
    <w:p w:rsidR="00410AD9" w:rsidRDefault="002E3E15">
      <w:pPr>
        <w:pBdr>
          <w:top w:val="single" w:sz="4" w:space="1" w:color="auto"/>
          <w:left w:val="single" w:sz="4" w:space="4" w:color="auto"/>
          <w:bottom w:val="single" w:sz="4" w:space="1" w:color="auto"/>
          <w:right w:val="single" w:sz="4" w:space="4" w:color="auto"/>
        </w:pBdr>
        <w:shd w:val="pct10" w:color="000000" w:fill="FFFFFF"/>
        <w:rPr>
          <w:rFonts w:ascii="Arial" w:hAnsi="Arial"/>
          <w:sz w:val="22"/>
        </w:rPr>
      </w:pPr>
      <w:r>
        <w:rPr>
          <w:rFonts w:ascii="Arial" w:hAnsi="Arial"/>
          <w:b/>
          <w:sz w:val="22"/>
          <w:u w:val="single"/>
        </w:rPr>
        <w:t>LNPA WG:</w:t>
      </w:r>
      <w:r>
        <w:rPr>
          <w:rFonts w:ascii="Arial" w:hAnsi="Arial"/>
          <w:sz w:val="22"/>
        </w:rPr>
        <w:t xml:space="preserve"> (only)</w:t>
      </w:r>
      <w:r w:rsidR="00CE1E3D">
        <w:rPr>
          <w:rFonts w:ascii="Arial" w:hAnsi="Arial"/>
          <w:sz w:val="22"/>
        </w:rPr>
        <w:tab/>
      </w:r>
      <w:r w:rsidR="00CE1E3D">
        <w:rPr>
          <w:rFonts w:ascii="Arial" w:hAnsi="Arial"/>
          <w:sz w:val="22"/>
        </w:rPr>
        <w:tab/>
      </w:r>
      <w:r w:rsidR="00CE1E3D">
        <w:rPr>
          <w:rFonts w:ascii="Arial" w:hAnsi="Arial"/>
          <w:sz w:val="22"/>
        </w:rPr>
        <w:tab/>
      </w:r>
      <w:r w:rsidR="00CE1E3D">
        <w:rPr>
          <w:rFonts w:ascii="Arial" w:hAnsi="Arial"/>
          <w:sz w:val="22"/>
        </w:rPr>
        <w:tab/>
        <w:t>Final Resolution Date:</w:t>
      </w:r>
      <w:r w:rsidR="00BC5687">
        <w:rPr>
          <w:rFonts w:ascii="Arial" w:hAnsi="Arial"/>
          <w:sz w:val="22"/>
        </w:rPr>
        <w:t xml:space="preserve"> 7/20/2004</w:t>
      </w:r>
    </w:p>
    <w:p w:rsidR="00410AD9" w:rsidRDefault="002E3E15">
      <w:pPr>
        <w:pBdr>
          <w:top w:val="single" w:sz="4" w:space="1" w:color="auto"/>
          <w:left w:val="single" w:sz="4" w:space="4" w:color="auto"/>
          <w:bottom w:val="single" w:sz="4" w:space="1" w:color="auto"/>
          <w:right w:val="single" w:sz="4" w:space="4" w:color="auto"/>
        </w:pBdr>
        <w:shd w:val="pct10" w:color="000000" w:fill="FFFFFF"/>
        <w:rPr>
          <w:rFonts w:ascii="Arial" w:hAnsi="Arial"/>
          <w:sz w:val="22"/>
        </w:rPr>
      </w:pPr>
      <w:r>
        <w:rPr>
          <w:rFonts w:ascii="Arial" w:hAnsi="Arial"/>
          <w:sz w:val="22"/>
        </w:rPr>
        <w:t>Item Number: 0037 v</w:t>
      </w:r>
      <w:r w:rsidR="009A396B">
        <w:rPr>
          <w:rFonts w:ascii="Arial" w:hAnsi="Arial"/>
          <w:sz w:val="22"/>
        </w:rPr>
        <w:t>3</w:t>
      </w:r>
      <w:bookmarkStart w:id="0" w:name="_GoBack"/>
      <w:bookmarkEnd w:id="0"/>
      <w:r>
        <w:rPr>
          <w:rFonts w:ascii="Arial" w:hAnsi="Arial"/>
          <w:sz w:val="22"/>
        </w:rPr>
        <w:tab/>
      </w:r>
      <w:r w:rsidR="00CE1E3D">
        <w:rPr>
          <w:rFonts w:ascii="Arial" w:hAnsi="Arial"/>
          <w:sz w:val="22"/>
        </w:rPr>
        <w:tab/>
      </w:r>
      <w:r w:rsidR="00CE1E3D">
        <w:rPr>
          <w:rFonts w:ascii="Arial" w:hAnsi="Arial"/>
          <w:sz w:val="22"/>
        </w:rPr>
        <w:tab/>
        <w:t>Related Documents:</w:t>
      </w:r>
    </w:p>
    <w:p w:rsidR="00410AD9" w:rsidRDefault="002E3E15">
      <w:pPr>
        <w:pBdr>
          <w:top w:val="single" w:sz="4" w:space="1" w:color="auto"/>
          <w:left w:val="single" w:sz="4" w:space="4" w:color="auto"/>
          <w:bottom w:val="single" w:sz="4" w:space="1" w:color="auto"/>
          <w:right w:val="single" w:sz="4" w:space="4" w:color="auto"/>
        </w:pBdr>
        <w:shd w:val="pct10" w:color="000000" w:fill="FFFFFF"/>
        <w:rPr>
          <w:rFonts w:ascii="Arial" w:hAnsi="Arial"/>
          <w:sz w:val="22"/>
        </w:rPr>
      </w:pPr>
      <w:r>
        <w:rPr>
          <w:rFonts w:ascii="Arial" w:hAnsi="Arial"/>
          <w:sz w:val="22"/>
        </w:rPr>
        <w:t>Issue Resolution Referred to: _________________________________________________________</w:t>
      </w:r>
    </w:p>
    <w:p w:rsidR="00410AD9" w:rsidRDefault="002E3E15">
      <w:pPr>
        <w:pBdr>
          <w:top w:val="single" w:sz="4" w:space="1" w:color="auto"/>
          <w:left w:val="single" w:sz="4" w:space="4" w:color="auto"/>
          <w:bottom w:val="single" w:sz="4" w:space="1" w:color="auto"/>
          <w:right w:val="single" w:sz="4" w:space="4" w:color="auto"/>
        </w:pBdr>
        <w:shd w:val="pct10" w:color="000000" w:fill="FFFFFF"/>
        <w:rPr>
          <w:rFonts w:ascii="Arial" w:hAnsi="Arial"/>
          <w:sz w:val="22"/>
        </w:rPr>
      </w:pPr>
      <w:r>
        <w:rPr>
          <w:rFonts w:ascii="Arial" w:hAnsi="Arial"/>
          <w:sz w:val="22"/>
        </w:rPr>
        <w:t>Why Issue Referred: __________________________________________________________________ ____________________________________________________________________________________________________________________________________________________________________________</w:t>
      </w:r>
    </w:p>
    <w:sectPr w:rsidR="00410AD9">
      <w:headerReference w:type="default" r:id="rId7"/>
      <w:footerReference w:type="even" r:id="rId8"/>
      <w:footerReference w:type="default" r:id="rId9"/>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D9" w:rsidRDefault="002E3E15">
      <w:r>
        <w:separator/>
      </w:r>
    </w:p>
  </w:endnote>
  <w:endnote w:type="continuationSeparator" w:id="0">
    <w:p w:rsidR="00410AD9" w:rsidRDefault="002E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D9" w:rsidRDefault="002E3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0AD9" w:rsidRDefault="00410A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D9" w:rsidRDefault="002E3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396B">
      <w:rPr>
        <w:rStyle w:val="PageNumber"/>
        <w:noProof/>
      </w:rPr>
      <w:t>2</w:t>
    </w:r>
    <w:r>
      <w:rPr>
        <w:rStyle w:val="PageNumber"/>
      </w:rPr>
      <w:fldChar w:fldCharType="end"/>
    </w:r>
  </w:p>
  <w:p w:rsidR="00410AD9" w:rsidRDefault="0041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D9" w:rsidRDefault="002E3E15">
      <w:r>
        <w:separator/>
      </w:r>
    </w:p>
  </w:footnote>
  <w:footnote w:type="continuationSeparator" w:id="0">
    <w:p w:rsidR="00410AD9" w:rsidRDefault="002E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D9" w:rsidRDefault="002E3E15">
    <w:pPr>
      <w:pStyle w:val="Header"/>
    </w:pPr>
    <w:r>
      <w:t>NANC – LNPA Working Group</w:t>
    </w:r>
    <w:r>
      <w:tab/>
      <w:t xml:space="preserve">                     </w:t>
    </w:r>
    <w:r>
      <w:tab/>
      <w:t>Problem/Issue Identification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345B3FE7"/>
    <w:multiLevelType w:val="hybridMultilevel"/>
    <w:tmpl w:val="7108D8C0"/>
    <w:lvl w:ilvl="0" w:tplc="B6960910">
      <w:start w:val="1"/>
      <w:numFmt w:val="decimal"/>
      <w:lvlText w:val="%1."/>
      <w:lvlJc w:val="left"/>
      <w:pPr>
        <w:tabs>
          <w:tab w:val="num" w:pos="720"/>
        </w:tabs>
        <w:ind w:left="720" w:hanging="360"/>
      </w:pPr>
    </w:lvl>
    <w:lvl w:ilvl="1" w:tplc="08449BCC" w:tentative="1">
      <w:start w:val="1"/>
      <w:numFmt w:val="lowerLetter"/>
      <w:lvlText w:val="%2."/>
      <w:lvlJc w:val="left"/>
      <w:pPr>
        <w:tabs>
          <w:tab w:val="num" w:pos="1440"/>
        </w:tabs>
        <w:ind w:left="1440" w:hanging="360"/>
      </w:pPr>
    </w:lvl>
    <w:lvl w:ilvl="2" w:tplc="540001F2" w:tentative="1">
      <w:start w:val="1"/>
      <w:numFmt w:val="lowerRoman"/>
      <w:lvlText w:val="%3."/>
      <w:lvlJc w:val="right"/>
      <w:pPr>
        <w:tabs>
          <w:tab w:val="num" w:pos="2160"/>
        </w:tabs>
        <w:ind w:left="2160" w:hanging="180"/>
      </w:pPr>
    </w:lvl>
    <w:lvl w:ilvl="3" w:tplc="FF72675E" w:tentative="1">
      <w:start w:val="1"/>
      <w:numFmt w:val="decimal"/>
      <w:lvlText w:val="%4."/>
      <w:lvlJc w:val="left"/>
      <w:pPr>
        <w:tabs>
          <w:tab w:val="num" w:pos="2880"/>
        </w:tabs>
        <w:ind w:left="2880" w:hanging="360"/>
      </w:pPr>
    </w:lvl>
    <w:lvl w:ilvl="4" w:tplc="0D0E1616" w:tentative="1">
      <w:start w:val="1"/>
      <w:numFmt w:val="lowerLetter"/>
      <w:lvlText w:val="%5."/>
      <w:lvlJc w:val="left"/>
      <w:pPr>
        <w:tabs>
          <w:tab w:val="num" w:pos="3600"/>
        </w:tabs>
        <w:ind w:left="3600" w:hanging="360"/>
      </w:pPr>
    </w:lvl>
    <w:lvl w:ilvl="5" w:tplc="A2200FA2" w:tentative="1">
      <w:start w:val="1"/>
      <w:numFmt w:val="lowerRoman"/>
      <w:lvlText w:val="%6."/>
      <w:lvlJc w:val="right"/>
      <w:pPr>
        <w:tabs>
          <w:tab w:val="num" w:pos="4320"/>
        </w:tabs>
        <w:ind w:left="4320" w:hanging="180"/>
      </w:pPr>
    </w:lvl>
    <w:lvl w:ilvl="6" w:tplc="170C77F6" w:tentative="1">
      <w:start w:val="1"/>
      <w:numFmt w:val="decimal"/>
      <w:lvlText w:val="%7."/>
      <w:lvlJc w:val="left"/>
      <w:pPr>
        <w:tabs>
          <w:tab w:val="num" w:pos="5040"/>
        </w:tabs>
        <w:ind w:left="5040" w:hanging="360"/>
      </w:pPr>
    </w:lvl>
    <w:lvl w:ilvl="7" w:tplc="B8CC14CE" w:tentative="1">
      <w:start w:val="1"/>
      <w:numFmt w:val="lowerLetter"/>
      <w:lvlText w:val="%8."/>
      <w:lvlJc w:val="left"/>
      <w:pPr>
        <w:tabs>
          <w:tab w:val="num" w:pos="5760"/>
        </w:tabs>
        <w:ind w:left="5760" w:hanging="360"/>
      </w:pPr>
    </w:lvl>
    <w:lvl w:ilvl="8" w:tplc="67CC8B62" w:tentative="1">
      <w:start w:val="1"/>
      <w:numFmt w:val="lowerRoman"/>
      <w:lvlText w:val="%9."/>
      <w:lvlJc w:val="right"/>
      <w:pPr>
        <w:tabs>
          <w:tab w:val="num" w:pos="6480"/>
        </w:tabs>
        <w:ind w:left="6480" w:hanging="180"/>
      </w:pPr>
    </w:lvl>
  </w:abstractNum>
  <w:abstractNum w:abstractNumId="2" w15:restartNumberingAfterBreak="0">
    <w:nsid w:val="380C5C74"/>
    <w:multiLevelType w:val="hybridMultilevel"/>
    <w:tmpl w:val="3CCE02F8"/>
    <w:lvl w:ilvl="0" w:tplc="16DECB30">
      <w:start w:val="1"/>
      <w:numFmt w:val="decimal"/>
      <w:lvlText w:val="%1."/>
      <w:lvlJc w:val="left"/>
      <w:pPr>
        <w:tabs>
          <w:tab w:val="num" w:pos="1080"/>
        </w:tabs>
        <w:ind w:left="1080" w:hanging="360"/>
      </w:pPr>
      <w:rPr>
        <w:rFonts w:hint="default"/>
      </w:rPr>
    </w:lvl>
    <w:lvl w:ilvl="1" w:tplc="74AE9F5C">
      <w:start w:val="1"/>
      <w:numFmt w:val="bullet"/>
      <w:lvlText w:val="o"/>
      <w:lvlJc w:val="left"/>
      <w:pPr>
        <w:tabs>
          <w:tab w:val="num" w:pos="1800"/>
        </w:tabs>
        <w:ind w:left="1800" w:hanging="360"/>
      </w:pPr>
      <w:rPr>
        <w:rFonts w:ascii="Courier New" w:hAnsi="Courier New" w:cs="Courier New" w:hint="default"/>
      </w:rPr>
    </w:lvl>
    <w:lvl w:ilvl="2" w:tplc="1F1AAF6A">
      <w:start w:val="1"/>
      <w:numFmt w:val="bullet"/>
      <w:lvlText w:val=""/>
      <w:lvlJc w:val="left"/>
      <w:pPr>
        <w:tabs>
          <w:tab w:val="num" w:pos="2520"/>
        </w:tabs>
        <w:ind w:left="2520" w:hanging="360"/>
      </w:pPr>
      <w:rPr>
        <w:rFonts w:ascii="Wingdings" w:hAnsi="Wingdings" w:hint="default"/>
      </w:rPr>
    </w:lvl>
    <w:lvl w:ilvl="3" w:tplc="2834D832" w:tentative="1">
      <w:start w:val="1"/>
      <w:numFmt w:val="bullet"/>
      <w:lvlText w:val=""/>
      <w:lvlJc w:val="left"/>
      <w:pPr>
        <w:tabs>
          <w:tab w:val="num" w:pos="3240"/>
        </w:tabs>
        <w:ind w:left="3240" w:hanging="360"/>
      </w:pPr>
      <w:rPr>
        <w:rFonts w:ascii="Symbol" w:hAnsi="Symbol" w:hint="default"/>
      </w:rPr>
    </w:lvl>
    <w:lvl w:ilvl="4" w:tplc="8EACDFF4" w:tentative="1">
      <w:start w:val="1"/>
      <w:numFmt w:val="bullet"/>
      <w:lvlText w:val="o"/>
      <w:lvlJc w:val="left"/>
      <w:pPr>
        <w:tabs>
          <w:tab w:val="num" w:pos="3960"/>
        </w:tabs>
        <w:ind w:left="3960" w:hanging="360"/>
      </w:pPr>
      <w:rPr>
        <w:rFonts w:ascii="Courier New" w:hAnsi="Courier New" w:cs="Courier New" w:hint="default"/>
      </w:rPr>
    </w:lvl>
    <w:lvl w:ilvl="5" w:tplc="45484ECA" w:tentative="1">
      <w:start w:val="1"/>
      <w:numFmt w:val="bullet"/>
      <w:lvlText w:val=""/>
      <w:lvlJc w:val="left"/>
      <w:pPr>
        <w:tabs>
          <w:tab w:val="num" w:pos="4680"/>
        </w:tabs>
        <w:ind w:left="4680" w:hanging="360"/>
      </w:pPr>
      <w:rPr>
        <w:rFonts w:ascii="Wingdings" w:hAnsi="Wingdings" w:hint="default"/>
      </w:rPr>
    </w:lvl>
    <w:lvl w:ilvl="6" w:tplc="2CCCF3BC" w:tentative="1">
      <w:start w:val="1"/>
      <w:numFmt w:val="bullet"/>
      <w:lvlText w:val=""/>
      <w:lvlJc w:val="left"/>
      <w:pPr>
        <w:tabs>
          <w:tab w:val="num" w:pos="5400"/>
        </w:tabs>
        <w:ind w:left="5400" w:hanging="360"/>
      </w:pPr>
      <w:rPr>
        <w:rFonts w:ascii="Symbol" w:hAnsi="Symbol" w:hint="default"/>
      </w:rPr>
    </w:lvl>
    <w:lvl w:ilvl="7" w:tplc="2E88A4D6" w:tentative="1">
      <w:start w:val="1"/>
      <w:numFmt w:val="bullet"/>
      <w:lvlText w:val="o"/>
      <w:lvlJc w:val="left"/>
      <w:pPr>
        <w:tabs>
          <w:tab w:val="num" w:pos="6120"/>
        </w:tabs>
        <w:ind w:left="6120" w:hanging="360"/>
      </w:pPr>
      <w:rPr>
        <w:rFonts w:ascii="Courier New" w:hAnsi="Courier New" w:cs="Courier New" w:hint="default"/>
      </w:rPr>
    </w:lvl>
    <w:lvl w:ilvl="8" w:tplc="426C8FA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4" w15:restartNumberingAfterBreak="0">
    <w:nsid w:val="42127560"/>
    <w:multiLevelType w:val="hybridMultilevel"/>
    <w:tmpl w:val="EDA0CE88"/>
    <w:lvl w:ilvl="0" w:tplc="58E85692">
      <w:start w:val="1"/>
      <w:numFmt w:val="decimal"/>
      <w:lvlText w:val="%1."/>
      <w:lvlJc w:val="left"/>
      <w:pPr>
        <w:tabs>
          <w:tab w:val="num" w:pos="720"/>
        </w:tabs>
        <w:ind w:left="720" w:hanging="360"/>
      </w:pPr>
      <w:rPr>
        <w:rFonts w:hint="default"/>
      </w:rPr>
    </w:lvl>
    <w:lvl w:ilvl="1" w:tplc="95DA3B50" w:tentative="1">
      <w:start w:val="1"/>
      <w:numFmt w:val="lowerLetter"/>
      <w:lvlText w:val="%2."/>
      <w:lvlJc w:val="left"/>
      <w:pPr>
        <w:tabs>
          <w:tab w:val="num" w:pos="1440"/>
        </w:tabs>
        <w:ind w:left="1440" w:hanging="360"/>
      </w:pPr>
    </w:lvl>
    <w:lvl w:ilvl="2" w:tplc="B81A57B2" w:tentative="1">
      <w:start w:val="1"/>
      <w:numFmt w:val="lowerRoman"/>
      <w:lvlText w:val="%3."/>
      <w:lvlJc w:val="right"/>
      <w:pPr>
        <w:tabs>
          <w:tab w:val="num" w:pos="2160"/>
        </w:tabs>
        <w:ind w:left="2160" w:hanging="180"/>
      </w:pPr>
    </w:lvl>
    <w:lvl w:ilvl="3" w:tplc="C20CB948" w:tentative="1">
      <w:start w:val="1"/>
      <w:numFmt w:val="decimal"/>
      <w:lvlText w:val="%4."/>
      <w:lvlJc w:val="left"/>
      <w:pPr>
        <w:tabs>
          <w:tab w:val="num" w:pos="2880"/>
        </w:tabs>
        <w:ind w:left="2880" w:hanging="360"/>
      </w:pPr>
    </w:lvl>
    <w:lvl w:ilvl="4" w:tplc="7BE0CEC0" w:tentative="1">
      <w:start w:val="1"/>
      <w:numFmt w:val="lowerLetter"/>
      <w:lvlText w:val="%5."/>
      <w:lvlJc w:val="left"/>
      <w:pPr>
        <w:tabs>
          <w:tab w:val="num" w:pos="3600"/>
        </w:tabs>
        <w:ind w:left="3600" w:hanging="360"/>
      </w:pPr>
    </w:lvl>
    <w:lvl w:ilvl="5" w:tplc="1D1056C4" w:tentative="1">
      <w:start w:val="1"/>
      <w:numFmt w:val="lowerRoman"/>
      <w:lvlText w:val="%6."/>
      <w:lvlJc w:val="right"/>
      <w:pPr>
        <w:tabs>
          <w:tab w:val="num" w:pos="4320"/>
        </w:tabs>
        <w:ind w:left="4320" w:hanging="180"/>
      </w:pPr>
    </w:lvl>
    <w:lvl w:ilvl="6" w:tplc="09BCBF5A" w:tentative="1">
      <w:start w:val="1"/>
      <w:numFmt w:val="decimal"/>
      <w:lvlText w:val="%7."/>
      <w:lvlJc w:val="left"/>
      <w:pPr>
        <w:tabs>
          <w:tab w:val="num" w:pos="5040"/>
        </w:tabs>
        <w:ind w:left="5040" w:hanging="360"/>
      </w:pPr>
    </w:lvl>
    <w:lvl w:ilvl="7" w:tplc="710EA1DC" w:tentative="1">
      <w:start w:val="1"/>
      <w:numFmt w:val="lowerLetter"/>
      <w:lvlText w:val="%8."/>
      <w:lvlJc w:val="left"/>
      <w:pPr>
        <w:tabs>
          <w:tab w:val="num" w:pos="5760"/>
        </w:tabs>
        <w:ind w:left="5760" w:hanging="360"/>
      </w:pPr>
    </w:lvl>
    <w:lvl w:ilvl="8" w:tplc="2368A796" w:tentative="1">
      <w:start w:val="1"/>
      <w:numFmt w:val="lowerRoman"/>
      <w:lvlText w:val="%9."/>
      <w:lvlJc w:val="right"/>
      <w:pPr>
        <w:tabs>
          <w:tab w:val="num" w:pos="6480"/>
        </w:tabs>
        <w:ind w:left="6480" w:hanging="180"/>
      </w:pPr>
    </w:lvl>
  </w:abstractNum>
  <w:abstractNum w:abstractNumId="5" w15:restartNumberingAfterBreak="0">
    <w:nsid w:val="54370F51"/>
    <w:multiLevelType w:val="hybridMultilevel"/>
    <w:tmpl w:val="7B74A338"/>
    <w:lvl w:ilvl="0" w:tplc="B0BCA8B2">
      <w:start w:val="1"/>
      <w:numFmt w:val="bullet"/>
      <w:lvlText w:val=""/>
      <w:lvlJc w:val="left"/>
      <w:pPr>
        <w:tabs>
          <w:tab w:val="num" w:pos="720"/>
        </w:tabs>
        <w:ind w:left="720" w:hanging="360"/>
      </w:pPr>
      <w:rPr>
        <w:rFonts w:ascii="Symbol" w:hAnsi="Symbol" w:hint="default"/>
        <w:b w:val="0"/>
        <w:i w:val="0"/>
        <w:sz w:val="22"/>
      </w:rPr>
    </w:lvl>
    <w:lvl w:ilvl="1" w:tplc="3E8E2120" w:tentative="1">
      <w:start w:val="1"/>
      <w:numFmt w:val="bullet"/>
      <w:lvlText w:val="o"/>
      <w:lvlJc w:val="left"/>
      <w:pPr>
        <w:tabs>
          <w:tab w:val="num" w:pos="1440"/>
        </w:tabs>
        <w:ind w:left="1440" w:hanging="360"/>
      </w:pPr>
      <w:rPr>
        <w:rFonts w:ascii="Courier New" w:hAnsi="Courier New" w:hint="default"/>
      </w:rPr>
    </w:lvl>
    <w:lvl w:ilvl="2" w:tplc="13E461BC" w:tentative="1">
      <w:start w:val="1"/>
      <w:numFmt w:val="bullet"/>
      <w:lvlText w:val=""/>
      <w:lvlJc w:val="left"/>
      <w:pPr>
        <w:tabs>
          <w:tab w:val="num" w:pos="2160"/>
        </w:tabs>
        <w:ind w:left="2160" w:hanging="360"/>
      </w:pPr>
      <w:rPr>
        <w:rFonts w:ascii="Wingdings" w:hAnsi="Wingdings" w:hint="default"/>
      </w:rPr>
    </w:lvl>
    <w:lvl w:ilvl="3" w:tplc="D4066A6C" w:tentative="1">
      <w:start w:val="1"/>
      <w:numFmt w:val="bullet"/>
      <w:lvlText w:val=""/>
      <w:lvlJc w:val="left"/>
      <w:pPr>
        <w:tabs>
          <w:tab w:val="num" w:pos="2880"/>
        </w:tabs>
        <w:ind w:left="2880" w:hanging="360"/>
      </w:pPr>
      <w:rPr>
        <w:rFonts w:ascii="Symbol" w:hAnsi="Symbol" w:hint="default"/>
      </w:rPr>
    </w:lvl>
    <w:lvl w:ilvl="4" w:tplc="221036D4" w:tentative="1">
      <w:start w:val="1"/>
      <w:numFmt w:val="bullet"/>
      <w:lvlText w:val="o"/>
      <w:lvlJc w:val="left"/>
      <w:pPr>
        <w:tabs>
          <w:tab w:val="num" w:pos="3600"/>
        </w:tabs>
        <w:ind w:left="3600" w:hanging="360"/>
      </w:pPr>
      <w:rPr>
        <w:rFonts w:ascii="Courier New" w:hAnsi="Courier New" w:hint="default"/>
      </w:rPr>
    </w:lvl>
    <w:lvl w:ilvl="5" w:tplc="D068AE44" w:tentative="1">
      <w:start w:val="1"/>
      <w:numFmt w:val="bullet"/>
      <w:lvlText w:val=""/>
      <w:lvlJc w:val="left"/>
      <w:pPr>
        <w:tabs>
          <w:tab w:val="num" w:pos="4320"/>
        </w:tabs>
        <w:ind w:left="4320" w:hanging="360"/>
      </w:pPr>
      <w:rPr>
        <w:rFonts w:ascii="Wingdings" w:hAnsi="Wingdings" w:hint="default"/>
      </w:rPr>
    </w:lvl>
    <w:lvl w:ilvl="6" w:tplc="1116B8CA" w:tentative="1">
      <w:start w:val="1"/>
      <w:numFmt w:val="bullet"/>
      <w:lvlText w:val=""/>
      <w:lvlJc w:val="left"/>
      <w:pPr>
        <w:tabs>
          <w:tab w:val="num" w:pos="5040"/>
        </w:tabs>
        <w:ind w:left="5040" w:hanging="360"/>
      </w:pPr>
      <w:rPr>
        <w:rFonts w:ascii="Symbol" w:hAnsi="Symbol" w:hint="default"/>
      </w:rPr>
    </w:lvl>
    <w:lvl w:ilvl="7" w:tplc="A47245A6" w:tentative="1">
      <w:start w:val="1"/>
      <w:numFmt w:val="bullet"/>
      <w:lvlText w:val="o"/>
      <w:lvlJc w:val="left"/>
      <w:pPr>
        <w:tabs>
          <w:tab w:val="num" w:pos="5760"/>
        </w:tabs>
        <w:ind w:left="5760" w:hanging="360"/>
      </w:pPr>
      <w:rPr>
        <w:rFonts w:ascii="Courier New" w:hAnsi="Courier New" w:hint="default"/>
      </w:rPr>
    </w:lvl>
    <w:lvl w:ilvl="8" w:tplc="705878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733E54"/>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70262B9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abstractNumId w:val="3"/>
  </w:num>
  <w:num w:numId="2">
    <w:abstractNumId w:val="8"/>
  </w:num>
  <w:num w:numId="3">
    <w:abstractNumId w:val="0"/>
  </w:num>
  <w:num w:numId="4">
    <w:abstractNumId w:val="6"/>
  </w:num>
  <w:num w:numId="5">
    <w:abstractNumId w:val="7"/>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15"/>
    <w:rsid w:val="002E3E15"/>
    <w:rsid w:val="00410AD9"/>
    <w:rsid w:val="009A396B"/>
    <w:rsid w:val="00BC5687"/>
    <w:rsid w:val="00CE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04557"/>
  <w15:chartTrackingRefBased/>
  <w15:docId w15:val="{F82ABFF5-C735-48D1-A54F-7D26490D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character" w:styleId="Hyperlink">
    <w:name w:val="Hyperlink"/>
    <w:basedOn w:val="DefaultParagraphFont"/>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360" w:hanging="360"/>
    </w:pPr>
    <w:rPr>
      <w:rFonts w:ascii="Arial" w:hAnsi="Arial" w:cs="Arial"/>
      <w:sz w:val="22"/>
      <w:szCs w:val="22"/>
    </w:rPr>
  </w:style>
  <w:style w:type="paragraph" w:customStyle="1" w:styleId="anotes">
    <w:name w:val="a_notes"/>
    <w:basedOn w:val="Normal"/>
    <w:pPr>
      <w:spacing w:before="160"/>
      <w:ind w:left="360"/>
    </w:pPr>
    <w:rPr>
      <w:rFonts w:ascii="Arial" w:hAnsi="Arial"/>
      <w:snapToGrid w:val="0"/>
      <w:color w:val="000000"/>
    </w:rPr>
  </w:style>
  <w:style w:type="paragraph" w:styleId="ListParagraph">
    <w:name w:val="List Paragraph"/>
    <w:basedOn w:val="Normal"/>
    <w:uiPriority w:val="1"/>
    <w:qFormat/>
    <w:rsid w:val="00CE1E3D"/>
    <w:pPr>
      <w:widowControl w:val="0"/>
      <w:autoSpaceDE w:val="0"/>
      <w:autoSpaceDN w:val="0"/>
      <w:adjustRightInd w:val="0"/>
      <w:ind w:left="562" w:hanging="36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610</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Sprint-Internal Use Only</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Dave Garner</dc:creator>
  <cp:keywords/>
  <dc:description/>
  <cp:lastModifiedBy>Doherty, Michael</cp:lastModifiedBy>
  <cp:revision>4</cp:revision>
  <cp:lastPrinted>2003-07-24T00:31:00Z</cp:lastPrinted>
  <dcterms:created xsi:type="dcterms:W3CDTF">2020-09-23T12:14:00Z</dcterms:created>
  <dcterms:modified xsi:type="dcterms:W3CDTF">2020-10-07T20:12:00Z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1050274057</vt:i4>
  </property>
  <property fmtid="{D5CDD505-2E9C-101B-9397-08002B2CF9AE}" pid="3" name="_EmailSubject">
    <vt:lpwstr>Revised PIM 29.</vt:lpwstr>
  </property>
  <property fmtid="{D5CDD505-2E9C-101B-9397-08002B2CF9AE}" pid="4" name="_AuthorEmail">
    <vt:lpwstr>rdress01@sprintspectrum.com</vt:lpwstr>
  </property>
  <property fmtid="{D5CDD505-2E9C-101B-9397-08002B2CF9AE}" pid="5" name="_AuthorEmailDisplayName">
    <vt:lpwstr>Dressner, Rick L [Non-Employee]</vt:lpwstr>
  </property>
  <property fmtid="{D5CDD505-2E9C-101B-9397-08002B2CF9AE}" pid="6" name="_NewReviewCycle">
    <vt:lpwstr/>
  </property>
  <property fmtid="{D5CDD505-2E9C-101B-9397-08002B2CF9AE}" pid="7" name="_PreviousAdHocReviewCycleID">
    <vt:i4>442322446</vt:i4>
  </property>
  <property fmtid="{D5CDD505-2E9C-101B-9397-08002B2CF9AE}" pid="8" name="_ReviewingToolsShownOnce">
    <vt:lpwstr/>
  </property>
</Properties>
</file>