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BB" w:rsidRPr="002C47BB" w:rsidRDefault="002C47BB" w:rsidP="002C47B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C47B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060</w:t>
      </w:r>
    </w:p>
    <w:p w:rsidR="002C47BB" w:rsidRPr="002C47BB" w:rsidRDefault="002C47BB" w:rsidP="002C47B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Range Operation Clarification</w:t>
      </w:r>
    </w:p>
    <w:p w:rsidR="002C47BB" w:rsidRPr="002C47BB" w:rsidRDefault="00732B72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2C47BB" w:rsidRPr="002C47B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2C47BB" w:rsidRPr="002C47BB">
        <w:rPr>
          <w:rFonts w:ascii="avenir" w:eastAsia="Times New Roman" w:hAnsi="avenir" w:cs="Times New Roman"/>
          <w:color w:val="333333"/>
          <w:sz w:val="20"/>
          <w:szCs w:val="20"/>
        </w:rPr>
        <w:t>04/03/1997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32B7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2C47BB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2C47BB" w:rsidRPr="002C47BB" w:rsidRDefault="002C47BB" w:rsidP="002C47B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color w:val="333333"/>
          <w:sz w:val="20"/>
          <w:szCs w:val="20"/>
        </w:rPr>
        <w:t>It should be made clear in the IIS that range operations are atomic.  A note will be put in section 6.5 of the IIS stating the following:  “All actions for subscription versions in the flows that follow are atomic.  If the operation fails for one TN in a range it fails for all TNs in the range.”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color w:val="333333"/>
          <w:sz w:val="20"/>
          <w:szCs w:val="20"/>
        </w:rPr>
        <w:t>IIS modifications will be made in the 1.1 release.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2C47BB" w:rsidRPr="002C47BB" w:rsidRDefault="002C47BB" w:rsidP="002C47B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C47B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C47B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41051C" w:rsidRDefault="0041051C">
      <w:bookmarkStart w:id="0" w:name="_GoBack"/>
      <w:bookmarkEnd w:id="0"/>
    </w:p>
    <w:sectPr w:rsidR="0041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B"/>
    <w:rsid w:val="002C47BB"/>
    <w:rsid w:val="0041051C"/>
    <w:rsid w:val="00732B72"/>
    <w:rsid w:val="00A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E16"/>
  <w15:chartTrackingRefBased/>
  <w15:docId w15:val="{93C6238B-F166-45BA-807F-D6287101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4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4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47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47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6486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2019-07-23T16:47:00Z</dcterms:created>
  <dcterms:modified xsi:type="dcterms:W3CDTF">2019-09-16T17:55:00Z</dcterms:modified>
</cp:coreProperties>
</file>