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45" w:rsidRPr="00A00845" w:rsidRDefault="00A00845" w:rsidP="00A0084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55"/>
          <w:szCs w:val="55"/>
        </w:rPr>
      </w:pPr>
      <w:r w:rsidRPr="00A00845">
        <w:rPr>
          <w:rFonts w:ascii="avenir" w:eastAsia="Times New Roman" w:hAnsi="avenir" w:cs="Times New Roman"/>
          <w:color w:val="E82026"/>
          <w:kern w:val="36"/>
          <w:sz w:val="55"/>
          <w:szCs w:val="55"/>
        </w:rPr>
        <w:t>NANC 327</w:t>
      </w:r>
    </w:p>
    <w:p w:rsidR="00A00845" w:rsidRPr="00A00845" w:rsidRDefault="00A00845" w:rsidP="00A0084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A0084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FRS Document Only Change – Update Appendix C – System </w:t>
      </w:r>
      <w:proofErr w:type="spellStart"/>
      <w:r w:rsidRPr="00A0084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Tunables</w:t>
      </w:r>
      <w:proofErr w:type="spellEnd"/>
    </w:p>
    <w:bookmarkEnd w:id="0"/>
    <w:p w:rsidR="00A00845" w:rsidRPr="00A00845" w:rsidRDefault="00A00845" w:rsidP="00A0084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/19/2001</w:t>
      </w:r>
    </w:p>
    <w:p w:rsidR="00A00845" w:rsidRPr="00A00845" w:rsidRDefault="00A00845" w:rsidP="00A0084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A00845" w:rsidRPr="00A00845" w:rsidRDefault="00A00845" w:rsidP="00A0084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A0084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A00845" w:rsidRPr="00A00845" w:rsidRDefault="00A00845" w:rsidP="00A0084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 xml:space="preserve">Currently the Subscription </w:t>
      </w:r>
      <w:proofErr w:type="spellStart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Tunables</w:t>
      </w:r>
      <w:proofErr w:type="spellEnd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 xml:space="preserve"> Table in Appendix C has Short Business Days and Long Business Days listed as </w:t>
      </w:r>
      <w:proofErr w:type="spellStart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tunables</w:t>
      </w:r>
      <w:proofErr w:type="spellEnd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 xml:space="preserve">.  Per requirements RR3-11 and </w:t>
      </w:r>
      <w:proofErr w:type="gramStart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RR3-30</w:t>
      </w:r>
      <w:proofErr w:type="gramEnd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 xml:space="preserve"> this is incorrect.  Requirement RR3-11 states “NPAC SMS short business days shall be Monday through Friday excluding NPAC operations-defined holidays”.  Requirement RR3-30 states “NPAC SMS long business days shall be Monday through Saturday excluding NPAC operations-defined holidays”.   </w:t>
      </w:r>
    </w:p>
    <w:p w:rsidR="00A00845" w:rsidRPr="00A00845" w:rsidRDefault="00A00845" w:rsidP="00A0084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1" w:name="eztoc72104_0_0_1"/>
      <w:bookmarkEnd w:id="1"/>
      <w:r w:rsidRPr="00A0084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 xml:space="preserve">Current Table: Subscription </w:t>
      </w:r>
      <w:proofErr w:type="spellStart"/>
      <w:r w:rsidRPr="00A0084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Tunables</w:t>
      </w:r>
      <w:proofErr w:type="spellEnd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Subscription Tunables"/>
      </w:tblPr>
      <w:tblGrid>
        <w:gridCol w:w="5974"/>
        <w:gridCol w:w="1248"/>
        <w:gridCol w:w="1004"/>
        <w:gridCol w:w="1134"/>
      </w:tblGrid>
      <w:tr w:rsidR="00A00845" w:rsidRPr="00A00845" w:rsidTr="00A00845">
        <w:tc>
          <w:tcPr>
            <w:tcW w:w="0" w:type="auto"/>
            <w:tcBorders>
              <w:bottom w:val="single" w:sz="6" w:space="0" w:color="A6A6A6"/>
            </w:tcBorders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Tunable Name</w:t>
            </w:r>
          </w:p>
        </w:tc>
        <w:tc>
          <w:tcPr>
            <w:tcW w:w="0" w:type="auto"/>
            <w:tcBorders>
              <w:bottom w:val="single" w:sz="6" w:space="0" w:color="A6A6A6"/>
            </w:tcBorders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Default Value</w:t>
            </w:r>
          </w:p>
        </w:tc>
        <w:tc>
          <w:tcPr>
            <w:tcW w:w="0" w:type="auto"/>
            <w:tcBorders>
              <w:bottom w:val="single" w:sz="6" w:space="0" w:color="A6A6A6"/>
            </w:tcBorders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Units</w:t>
            </w:r>
          </w:p>
        </w:tc>
        <w:tc>
          <w:tcPr>
            <w:tcW w:w="0" w:type="auto"/>
            <w:tcBorders>
              <w:bottom w:val="single" w:sz="6" w:space="0" w:color="A6A6A6"/>
            </w:tcBorders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Valid Range</w:t>
            </w:r>
          </w:p>
        </w:tc>
      </w:tr>
      <w:tr w:rsidR="00A00845" w:rsidRPr="00A00845" w:rsidTr="00A008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Initial Concurrence Window—</w:t>
            </w: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hours subsequent to the time the subscription version </w:t>
            </w:r>
            <w:proofErr w:type="gramStart"/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was initially created</w:t>
            </w:r>
            <w:proofErr w:type="gramEnd"/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which both Service Providers using long timers are expected to authorize transfer of service if this is an Inter-Service Provider port. (T1 timer)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hours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1-72</w:t>
            </w:r>
          </w:p>
        </w:tc>
      </w:tr>
      <w:tr w:rsidR="00A00845" w:rsidRPr="00A00845" w:rsidTr="00A008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Business Day Start Time—</w:t>
            </w: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Parameter tunable to the value specified by the contracting region for long business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hh:mm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00:00 - 24:00</w:t>
            </w:r>
          </w:p>
        </w:tc>
      </w:tr>
      <w:tr w:rsidR="00A00845" w:rsidRPr="00A00845" w:rsidTr="00A008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Short Business Days—</w:t>
            </w: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The business days available for Service Providers using short business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Monday-Friday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Monday-Sunday</w:t>
            </w:r>
          </w:p>
        </w:tc>
      </w:tr>
      <w:tr w:rsidR="00A00845" w:rsidRPr="00A00845" w:rsidTr="00A008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Business Days—</w:t>
            </w: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The business days available for Service Providers using long business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Monday-Friday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Monday-Sunday</w:t>
            </w:r>
          </w:p>
        </w:tc>
      </w:tr>
    </w:tbl>
    <w:p w:rsidR="00A00845" w:rsidRPr="00A00845" w:rsidRDefault="00A00845" w:rsidP="00A0084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bookmarkStart w:id="2" w:name="eztoc72104_0_0_2"/>
      <w:bookmarkEnd w:id="2"/>
      <w:r w:rsidRPr="00A0084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lastRenderedPageBreak/>
        <w:t xml:space="preserve">Revised Table: Subscription </w:t>
      </w:r>
      <w:proofErr w:type="spellStart"/>
      <w:r w:rsidRPr="00A0084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Tunables</w:t>
      </w:r>
      <w:proofErr w:type="spellEnd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4"/>
        <w:gridCol w:w="1248"/>
        <w:gridCol w:w="1004"/>
        <w:gridCol w:w="1134"/>
      </w:tblGrid>
      <w:tr w:rsidR="00A00845" w:rsidRPr="00A00845" w:rsidTr="00A00845">
        <w:tc>
          <w:tcPr>
            <w:tcW w:w="0" w:type="auto"/>
            <w:tcBorders>
              <w:bottom w:val="single" w:sz="6" w:space="0" w:color="A6A6A6"/>
            </w:tcBorders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Tunable Name</w:t>
            </w:r>
          </w:p>
        </w:tc>
        <w:tc>
          <w:tcPr>
            <w:tcW w:w="0" w:type="auto"/>
            <w:tcBorders>
              <w:bottom w:val="single" w:sz="6" w:space="0" w:color="A6A6A6"/>
            </w:tcBorders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Default Value</w:t>
            </w:r>
          </w:p>
        </w:tc>
        <w:tc>
          <w:tcPr>
            <w:tcW w:w="0" w:type="auto"/>
            <w:tcBorders>
              <w:bottom w:val="single" w:sz="6" w:space="0" w:color="A6A6A6"/>
            </w:tcBorders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Units</w:t>
            </w:r>
          </w:p>
        </w:tc>
        <w:tc>
          <w:tcPr>
            <w:tcW w:w="0" w:type="auto"/>
            <w:tcBorders>
              <w:bottom w:val="single" w:sz="6" w:space="0" w:color="A6A6A6"/>
            </w:tcBorders>
            <w:shd w:val="clear" w:color="auto" w:fill="666666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Valid Range</w:t>
            </w:r>
          </w:p>
        </w:tc>
      </w:tr>
      <w:tr w:rsidR="00A00845" w:rsidRPr="00A00845" w:rsidTr="00A008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Initial Concurrence Window—</w:t>
            </w: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hours subsequent to the time the subscription version </w:t>
            </w:r>
            <w:proofErr w:type="gramStart"/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was initially created</w:t>
            </w:r>
            <w:proofErr w:type="gramEnd"/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which both Service Providers using long timers are expected to authorize transfer of service if this is an Inter-Service Provider port. (T1 timer)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hours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1-72</w:t>
            </w:r>
          </w:p>
        </w:tc>
      </w:tr>
      <w:tr w:rsidR="00A00845" w:rsidRPr="00A00845" w:rsidTr="00A008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Long Business Day Start Time—</w:t>
            </w: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Parameter tunable to the value specified by the contracting region for long business days.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hh:mm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A00845" w:rsidRPr="00A00845" w:rsidRDefault="00A00845" w:rsidP="00A0084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45">
              <w:rPr>
                <w:rFonts w:ascii="Times New Roman" w:eastAsia="Times New Roman" w:hAnsi="Times New Roman" w:cs="Times New Roman"/>
                <w:sz w:val="24"/>
                <w:szCs w:val="24"/>
              </w:rPr>
              <w:t>00:00 - 24:00</w:t>
            </w:r>
          </w:p>
        </w:tc>
      </w:tr>
    </w:tbl>
    <w:p w:rsidR="00A00845" w:rsidRPr="00A00845" w:rsidRDefault="00A00845" w:rsidP="00A0084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A00845" w:rsidRPr="00A00845" w:rsidRDefault="00A00845" w:rsidP="00A0084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Proposed Resolution: </w:t>
      </w:r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 xml:space="preserve">Remove the Short Business Days and Long Business Days items from the Subscription </w:t>
      </w:r>
      <w:proofErr w:type="spellStart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Tunables</w:t>
      </w:r>
      <w:proofErr w:type="spellEnd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 xml:space="preserve"> Table in Appendix C of the FRS.</w:t>
      </w:r>
    </w:p>
    <w:p w:rsidR="00A00845" w:rsidRPr="00A00845" w:rsidRDefault="00A00845" w:rsidP="00A0084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April 2001 </w:t>
      </w:r>
      <w:proofErr w:type="gramStart"/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Meeting:</w:t>
      </w:r>
      <w:proofErr w:type="gramEnd"/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 </w:t>
      </w:r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 xml:space="preserve">Accepted. The update </w:t>
      </w:r>
      <w:proofErr w:type="gramStart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will be made</w:t>
      </w:r>
      <w:proofErr w:type="gramEnd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 xml:space="preserve"> in the next release of the FRS.</w:t>
      </w:r>
    </w:p>
    <w:p w:rsidR="00A00845" w:rsidRPr="00A00845" w:rsidRDefault="00A00845" w:rsidP="00A0084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July 2001:</w:t>
      </w:r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 xml:space="preserve"> Document </w:t>
      </w:r>
      <w:proofErr w:type="gramStart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Only</w:t>
      </w:r>
      <w:proofErr w:type="gramEnd"/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 xml:space="preserve"> change included in IIS Version 3.1.0.  Not part of the Release 3.1 SOW.</w:t>
      </w:r>
    </w:p>
    <w:p w:rsidR="00A00845" w:rsidRPr="00A00845" w:rsidRDefault="00A00845" w:rsidP="00A0084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A00845" w:rsidRPr="00A00845" w:rsidRDefault="00A00845" w:rsidP="00A0084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3.1.0</w:t>
      </w:r>
    </w:p>
    <w:p w:rsidR="00A00845" w:rsidRPr="00A00845" w:rsidRDefault="00A00845" w:rsidP="00A0084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A0084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A0084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A00845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45"/>
    <w:rsid w:val="00A00845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139BA-D44D-4776-91E6-B15410C5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0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0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8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08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08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3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>iconectiv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2019-07-23T13:53:00Z</dcterms:modified>
</cp:coreProperties>
</file>