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C2" w:rsidRPr="00B21DC2" w:rsidRDefault="00B21DC2" w:rsidP="00B21DC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21DC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390</w:t>
      </w:r>
    </w:p>
    <w:p w:rsidR="00B21DC2" w:rsidRPr="00B21DC2" w:rsidRDefault="00B21DC2" w:rsidP="00B21DC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B21DC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New Interface Confirmation Messages SOA/LSMS- to- NPAC</w:t>
      </w:r>
    </w:p>
    <w:bookmarkEnd w:id="0"/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/16/2003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Qwest</w:t>
      </w:r>
      <w:proofErr w:type="spellEnd"/>
      <w:proofErr w:type="gramEnd"/>
    </w:p>
    <w:p w:rsidR="00B21DC2" w:rsidRPr="00B21DC2" w:rsidRDefault="00B21DC2" w:rsidP="00B21DC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 systems (SOA/LSMS) need to know (in the form of a positive acknowledgement from the NPAC) that the NPAC has received their request message, so the systems (SOA/LSMS) do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not unnecessarily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resend the message and cause duplicate transactions for the same request.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Based on the current requirements for the NPAC, the NPAC acknowledgement message (generally referred to as "a response to a request" from the SOA/LSMS)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is not returned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until AFTER the NPAC has completed the activity required by that request.  During heavy porting periods, transactions that require many records to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may take longer than normal for a response to be received from the NPAC.  In the case of a delayed response, the SOA/LSMS may abort the association to the NPAC (e.g., after the 15 minute Abort timer expires).  When the association is re-established, the SOA/LSMS may resend messages to the NPAC because they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haven’t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received a response to the first message and thus believe the NPAC did not receive the original message.  This behavior can lead to a duplicate transaction for the same request thus: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 1.) Causing a heavy volume of transactions over the NPAC to SOA/LSMS interface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2.) Slowing Porting completion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3.) Causing an increase of porting costs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 4.) Causing duplicate message processing at the NPAC, and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5.) Possibly causing manual intervention by NPAC and Service Provider personnel, etc.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Nov ’03 LNPAWG, discussion: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Explained the current functionality, and the fact that higher priority transactions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will be worked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before other requested work, which can cause delays in responses.  In the case where previously submitted work was re-sent to the NPAC, the NPAC may have to re-do work it has already done.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Providers may see a backup in their SOA traffic, thereby causing them to process extra data as well.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A toggle would need to be added for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Backward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compatibility.  Providers that support the new confirmation message would use the new method/flow, and other providers would continue to use the current method/flow.  There is definitely a benefit to this, but to obtain the benefit would require changes to the SOA as well.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 xml:space="preserve">It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was agreed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this would be accepted as a change order, and would continue to be worked with the Architecture group in December.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Feb ‘04 –</w:t>
      </w: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 Refer to the Architecture Planning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Team’s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working document for the latest information on this change order.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Jul ’08 LNPAWG, discussion.</w:t>
      </w: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  Need to develop requirements for Sep ’08 review.  See below:</w:t>
      </w:r>
    </w:p>
    <w:p w:rsidR="00B21DC2" w:rsidRPr="00B21DC2" w:rsidRDefault="00B21DC2" w:rsidP="00B21DC2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Req-1  Service Provider SOA Interface Confirmation Message Indicator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NPAC SMS shall provide a Service Provider SOA Interface Confirmation Message Indicator tunable </w:t>
      </w:r>
      <w:proofErr w:type="gram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parameter which</w:t>
      </w:r>
      <w:proofErr w:type="gram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 defines whether a SOA supports Interface Confirmation Messages.</w:t>
      </w:r>
    </w:p>
    <w:p w:rsidR="00B21DC2" w:rsidRPr="00B21DC2" w:rsidRDefault="00B21DC2" w:rsidP="00B21DC2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Req-2  Service Provider SOA Interface Confirmation Message Indicator Default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NPAC SMS shall default the Service Provider SOA Interface Confirmation Message Indicator tunable parameter to FALSE.</w:t>
      </w:r>
    </w:p>
    <w:p w:rsidR="00B21DC2" w:rsidRPr="00B21DC2" w:rsidRDefault="00B21DC2" w:rsidP="00B21DC2">
      <w:pPr>
        <w:numPr>
          <w:ilvl w:val="0"/>
          <w:numId w:val="3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Req-3  Service Provider SOA Interface Confirmation Message Indicator Modification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NPAC SMS shall allow NPAC Personnel, via the NPAC Administrative Interface, to modify the Service Provider SOA Interface Confirmation Message Indicator tunable parameter.</w:t>
      </w:r>
    </w:p>
    <w:p w:rsidR="00B21DC2" w:rsidRPr="00B21DC2" w:rsidRDefault="00B21DC2" w:rsidP="00B21DC2">
      <w:pPr>
        <w:numPr>
          <w:ilvl w:val="0"/>
          <w:numId w:val="4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Req-4  Service Provider SOA Interface Confirmation Message – Indicator set to FALSE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NPAC SMS shall process a Service Provider SOA request when a Service Provider SOA Interface Confirmation Message Indicator tunable parameter is set to FALSE, by using the following Interoperability Interface Specification flows:</w:t>
      </w:r>
    </w:p>
    <w:p w:rsidR="00B21DC2" w:rsidRPr="00B21DC2" w:rsidRDefault="00B21DC2" w:rsidP="00B21DC2">
      <w:pPr>
        <w:numPr>
          <w:ilvl w:val="0"/>
          <w:numId w:val="5"/>
        </w:numPr>
        <w:spacing w:after="24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B.2.1 – SOA Initiated Audit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B.2.2 – SOA Initiated Audit Cancellation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B.2.3 – SOA Initiated Audit Cancellation by the NPAC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B.2.6 –Audit Query on the NPAC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B.2.7 – SOA Audit Create for Subscription Versions within a Number Pool Block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B.3.5 – Service Provider Modification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B.3.7 – Service Provider Query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B.4.1.4 – NPA-NXX Creation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B.4.1.6 – NPA-NXX Deletion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B.4.1.8 – NPA-NXX Query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B.4.2.2 – LRN Creation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B.4.2.3 – LRN Deletion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B.4.2.4 – LRN Query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B.4.2.11 – Scoped/Filtered GET of Network Data from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B.4.3.4 – Service Provider NPA-NXX-X Query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B.4.4.1 – Number Pool Block Create/Activate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B.4.4.13 – Number Pool Block Modify by the Block Holder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B.4.4.33 – Number Pool Block Query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B.5.1.1 – Subscription Version Create by the Initial SOA (Old Service Provider)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B.5.1.2 – Subscription Version Create by the Initial SOA (New Service Provider)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B.5.1.3 – Subscription Version Create by the Second SOA (New Service Provider)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B.5.1.4 – Subscription Version Create by the Second SOA (Old Service Provider) with Authorization to Port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B.5.1.5 – Subscription Version Activated by the New Service Provider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B.5.1.11 – Subscription Version Create for Intra-Service Provider Port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B.5.1.12 – Subscription Version for Inter- and Intra-Service Provider Port-to-Original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B.5.1.13 – Subscription Version for Inter- and Intra-Service Provider Port-to-Original: All LSMSs Fail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B.5.1.14 – Subscription Version for Inter- and Intra-Service Provider Port-to-Original: Partial Failure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B.5.1.17 – Subscription Version Port-to-Original of a Ported Pool TN Activation by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B.5.1.17.13 – Subscription Version Port-to-Original of a Pool TN – Creation Prior to NPA-NXX-X Effective Date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B.5.1.18 – Subscription Version Inter-Service Provider Create by either SOA (Old or New Service Provider) with a Due Date which is Prior to the NPA-NXX Effective Date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B.5.2.1 – Subscription Version Modify Active Version Using M-ACTION by a Service Provider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B.5.2.3 – Subscription Version Modify Prior to Activate Using M-ACTION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B.5.2.4 – Subscription Version Modify Prior to Activate Using M-SET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B.5.2.7 – Subscription Version Modify Disconnect-Pending Version Using M-ACTION by a Service Provider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B.5.3.1 – Subscription Version Cancel by Service Provider SOA after Both Service Provider SOAs have Concurred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B.5.3.2 – Subscription Version Cancel: No Acknowledgment from a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B.5.3.3 – Subscription Version Cancels with Only One Create Action Received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B.5.3.4 – Subscription Version Cancel by Current Service Provider for Disconnect-Pending Subscription Version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B.5.3.5 – Un-Do Cancel-Pending Subscription Version Request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B.5.4.1 – Subscription Version Immediate Disconnect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B.5.4.2 – Subscription Version Disconnect With Effective Release Date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B.5.4.7.1 – SOA Initiates Successful Disconnect Request of Ported Pooled TN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B.5.4.7.3 – Subscription Version Disconnect Request of Ported Pooled TN With Effective Release Date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B.5.4.7.14 – Subscription Version Immediate Disconnect of a Contaminated Pooled TN Prior to Block Activation (after Effective Date)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B.5.5.2 – Subscription Version Conflict Removal by the New Service Provider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B.5.5.4 – Subscription Version Conflict by Old Service Provider Explicitly Not Authorizing (2nd Create)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B.5.5.5 – Subscription Version Conflict Removal by the Old Service Provider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B.5.6 – Subscription Version Query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B.6.4 – </w:t>
      </w:r>
      <w:proofErr w:type="spell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-NXX Creation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B.6.5 – </w:t>
      </w:r>
      <w:proofErr w:type="spell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-NXX Deletion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B.6.6 – </w:t>
      </w:r>
      <w:proofErr w:type="spell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-NXX Query by the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B.7.3 – Sequencing of Events on Initialization/Resynchronization of SOA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B.7.3.1 – Sequencing of Events on Initialization/Resynchronization of SOA using SWIM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Req-5  Service Provider SOA Interface Confirmation Message – Indicator set to TRUEB.2.1C – SOA Initiated Audit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B.2.2C – SOA Initiated Audit Cancellation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B.2.3C – SOA Initiated Audit Cancellation by the NPAC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B.2.6C –Audit Query on the NPAC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B.2.7C – SOA Audit Create for Subscription Versions within a Number Pool Block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B.3.5C – Service Provider Modification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B.3.7C – Service Provider Query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B.4.1.4C – NPA-NXX Creation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B.4.1.6C – NPA-NXX Deletion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B.4.1.8C – NPA-NXX Query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B.4.2.2C – LRN Creation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B.4.2.3C – LRN Deletion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B.4.2.4C – LRN Query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B.4.2.11C – Scoped/Filtered GET of Network Data from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B.4.3.4C – Service Provider NPA-NXX-X Query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B.4.4.1C – Number Pool Block Create/Activate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B.4.4.13C – Number Pool Block Modify by the Block Holder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B.4.4.33C – Number Pool Block Query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B.5.1.1C – Subscription Version Create by the Initial SOA (Old Service Provider)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B.5.1.2C – Subscription Version Create by the Initial SOA (New Service Provider)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B.5.1.3C – Subscription Version Create by the Second SOA (New Service Provider)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B.5.1.4C – Subscription Version Create by the Second SOA (Old Service Provider) with Authorization to Port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B.5.1.5C – Subscription Version Activated by the New Service Provider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B.5.1.11C – Subscription Version Create for Intra-Service Provider Port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B.5.1.12C – Subscription Version for Inter- and Intra-Service Provider Port-to-Original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B.5.1.13C – Subscription Version for Inter- and Intra-Service Provider Port-to-Original: All LSMSs Fail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B.5.1.14C – Subscription Version for Inter- and Intra-Service Provider Port-to-Original: Partial Failure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B.5.1.17C – Subscription Version Port-to-Original of a Ported Pool TN Activation by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B.5.1.17.13C – Subscription Version Port-to-Original of a Pool TN – Creation Prior to NPA-NXX-X Effective Date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B.5.1.18C – Subscription Version Inter-Service Provider Create by either SOA (Old or New Service Provider) with a Due Date which is Prior to the NPA-NXX Effective Date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B.5.2.1C – Subscription Version Modify Active Version Using M-ACTION by a Service Provider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B.5.2.3C – Subscription Version Modify Prior to Activate Using M-ACTION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B.5.2.4C – Subscription Version Modify Prior to Activate Using M-SET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B.5.2.7C – Subscription Version Modify Disconnect-Pending Version Using M-ACTION by a Service Provider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B.5.3.1C – Subscription Version Cancel by Service Provider SOA after Both Service Provider SOAs have Concurred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B.5.3.2C – Subscription Version Cancel: No Acknowledgment from a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B.5.3.3C – Subscription Version Cancels with Only One Create Action Received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B.5.3.4C – Subscription Version Cancel by Current Service Provider for Disconnect-Pending Subscription Version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B.5.3.5C – Un-Do Cancel-Pending Subscription Version Request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B.5.4.1C – Subscription Version Immediate Disconnect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B.5.4.2C – Subscription Version Disconnect With Effective Release Date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B.5.4.7.1C – SOA Initiates Successful Disconnect Request of Ported Pooled TN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B.5.4.7.3C – Subscription Version Disconnect Request of Ported Pooled TN With Effective Release Date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B.5.4.7.14C – Subscription Version Immediate Disconnect of a Contaminated Pooled TN Prior to Block Activation (after Effective Date)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B.5.5.2C – Subscription Version Conflict Removal by the New Service Provider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B.5.5.4C – Subscription Version Conflict by Old Service Provider Explicitly Not Authorizing (2nd Create)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B.5.5.5C – Subscription Version Conflict Removal by the Old Service Provider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B.5.6C – Subscription Version Query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B.6.4C – </w:t>
      </w:r>
      <w:proofErr w:type="spell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-NXX Creation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B.6.5C – </w:t>
      </w:r>
      <w:proofErr w:type="spell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-NXX Deletion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 xml:space="preserve">B.6.6C – </w:t>
      </w:r>
      <w:proofErr w:type="spellStart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-NXX Query by the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B.7.3C – Sequencing of Events on Initialization/Resynchronization of SOA – Confirmed</w:t>
      </w:r>
    </w:p>
    <w:p w:rsidR="00B21DC2" w:rsidRPr="00B21DC2" w:rsidRDefault="00B21DC2" w:rsidP="00B21DC2">
      <w:pPr>
        <w:numPr>
          <w:ilvl w:val="1"/>
          <w:numId w:val="6"/>
        </w:numPr>
        <w:spacing w:after="60" w:line="270" w:lineRule="atLeast"/>
        <w:ind w:left="6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B.7.3.1C – Sequencing of Events on Initialization/Resynchronization of SOA using SWIM – Confirmed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GDMO/ASN.1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Nov ’08 LNPAWG</w:t>
      </w: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, request to include </w:t>
      </w:r>
      <w:hyperlink r:id="rId5" w:tgtFrame="_self" w:tooltip="NANC 390 GDMO" w:history="1">
        <w:r w:rsidRPr="00B21DC2">
          <w:rPr>
            <w:rFonts w:ascii="avenir" w:eastAsia="Times New Roman" w:hAnsi="avenir" w:cs="Times New Roman"/>
            <w:b/>
            <w:bCs/>
            <w:color w:val="3C5D70"/>
            <w:sz w:val="20"/>
            <w:szCs w:val="20"/>
            <w:u w:val="single"/>
          </w:rPr>
          <w:t>GDMO</w:t>
        </w:r>
      </w:hyperlink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  and </w:t>
      </w:r>
      <w:hyperlink r:id="rId6" w:tgtFrame="_self" w:tooltip="NANC 390 ASN" w:history="1">
        <w:r w:rsidRPr="00B21DC2">
          <w:rPr>
            <w:rFonts w:ascii="avenir" w:eastAsia="Times New Roman" w:hAnsi="avenir" w:cs="Times New Roman"/>
            <w:b/>
            <w:bCs/>
            <w:color w:val="3C5D70"/>
            <w:sz w:val="20"/>
            <w:szCs w:val="20"/>
            <w:u w:val="single"/>
          </w:rPr>
          <w:t>ASN</w:t>
        </w:r>
      </w:hyperlink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 : </w:t>
      </w:r>
    </w:p>
    <w:p w:rsidR="00B21DC2" w:rsidRPr="00B21DC2" w:rsidRDefault="00B21DC2" w:rsidP="00B21DC2">
      <w:pPr>
        <w:numPr>
          <w:ilvl w:val="0"/>
          <w:numId w:val="7"/>
        </w:numPr>
        <w:spacing w:after="180" w:line="240" w:lineRule="auto"/>
        <w:ind w:left="300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hyperlink r:id="rId7" w:history="1">
        <w:r w:rsidRPr="00B21DC2">
          <w:rPr>
            <w:rFonts w:ascii="avenir" w:eastAsia="Times New Roman" w:hAnsi="avenir" w:cs="Times New Roman"/>
            <w:b/>
            <w:bCs/>
            <w:color w:val="3C5D70"/>
            <w:sz w:val="27"/>
            <w:szCs w:val="27"/>
            <w:u w:val="single"/>
          </w:rPr>
          <w:t>NANC 390_gdmo</w:t>
        </w:r>
      </w:hyperlink>
    </w:p>
    <w:p w:rsidR="00B21DC2" w:rsidRPr="00B21DC2" w:rsidRDefault="00B21DC2" w:rsidP="00B21DC2">
      <w:pPr>
        <w:spacing w:after="195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NANC 390 - GDMO</w:t>
      </w:r>
    </w:p>
    <w:p w:rsidR="00B21DC2" w:rsidRPr="00B21DC2" w:rsidRDefault="00B21DC2" w:rsidP="00B21DC2">
      <w:pPr>
        <w:spacing w:after="195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Download the document </w:t>
      </w:r>
      <w:hyperlink r:id="rId8" w:history="1">
        <w:r w:rsidRPr="00B21DC2">
          <w:rPr>
            <w:rFonts w:ascii="avenir" w:eastAsia="Times New Roman" w:hAnsi="avenir" w:cs="Times New Roman"/>
            <w:b/>
            <w:bCs/>
            <w:color w:val="3C5D70"/>
            <w:sz w:val="20"/>
            <w:szCs w:val="20"/>
            <w:u w:val="single"/>
          </w:rPr>
          <w:t>NANC 390_gdmo</w:t>
        </w:r>
      </w:hyperlink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Moved to closed/no-action.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N/A.</w:t>
      </w:r>
    </w:p>
    <w:p w:rsidR="00B21DC2" w:rsidRPr="00B21DC2" w:rsidRDefault="00B21DC2" w:rsidP="00B21DC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1DC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Status:</w:t>
      </w:r>
      <w:r w:rsidRPr="00B21DC2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850667" w:rsidRDefault="00B21DC2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F51"/>
    <w:multiLevelType w:val="multilevel"/>
    <w:tmpl w:val="444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23CF8"/>
    <w:multiLevelType w:val="multilevel"/>
    <w:tmpl w:val="4C7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95838"/>
    <w:multiLevelType w:val="multilevel"/>
    <w:tmpl w:val="5C4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A2C40"/>
    <w:multiLevelType w:val="multilevel"/>
    <w:tmpl w:val="BAA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D5FD1"/>
    <w:multiLevelType w:val="multilevel"/>
    <w:tmpl w:val="2F5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C2B67"/>
    <w:multiLevelType w:val="multilevel"/>
    <w:tmpl w:val="AC5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2"/>
    <w:rsid w:val="00B21DC2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575DA-D40F-443E-8369-22500C4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1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D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1D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1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berportability.com/documents/1220/nanc390_gdmo_iXKFbBS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mberportability.com/documents/1220/nanc390_gdmo_iXKFbBS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berportability.com/documents/1219/4521_AN3UH0O" TargetMode="External"/><Relationship Id="rId5" Type="http://schemas.openxmlformats.org/officeDocument/2006/relationships/hyperlink" Target="https://numberportability.com/documents/1218/4520_LasWhr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10602</Characters>
  <Application>Microsoft Office Word</Application>
  <DocSecurity>0</DocSecurity>
  <Lines>88</Lines>
  <Paragraphs>24</Paragraphs>
  <ScaleCrop>false</ScaleCrop>
  <Company>iconectiv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2019-07-22T13:55:00Z</dcterms:created>
  <dcterms:modified xsi:type="dcterms:W3CDTF">2019-07-22T15:50:00Z</dcterms:modified>
</cp:coreProperties>
</file>