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A745D7">
        <w:rPr>
          <w:sz w:val="24"/>
        </w:rPr>
        <w:t>11/19</w:t>
      </w:r>
      <w:r w:rsidR="00827642">
        <w:rPr>
          <w:sz w:val="24"/>
        </w:rPr>
        <w:t>/1999</w:t>
      </w:r>
      <w:r w:rsidR="002E5F4A">
        <w:rPr>
          <w:sz w:val="24"/>
        </w:rPr>
        <w:tab/>
      </w:r>
      <w:r w:rsidR="002E5F4A">
        <w:rPr>
          <w:sz w:val="24"/>
        </w:rPr>
        <w:tab/>
      </w:r>
      <w:r w:rsidR="002E5F4A">
        <w:rPr>
          <w:sz w:val="24"/>
        </w:rPr>
        <w:tab/>
      </w:r>
      <w:r w:rsidR="002E5F4A">
        <w:rPr>
          <w:sz w:val="24"/>
        </w:rPr>
        <w:tab/>
      </w:r>
      <w:r w:rsidR="002E5F4A">
        <w:rPr>
          <w:sz w:val="24"/>
        </w:rPr>
        <w:tab/>
      </w:r>
      <w:r w:rsidR="002E5F4A" w:rsidRPr="002E5F4A">
        <w:rPr>
          <w:b/>
          <w:sz w:val="24"/>
        </w:rPr>
        <w:t>PIM 004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A745D7">
        <w:rPr>
          <w:sz w:val="24"/>
        </w:rPr>
        <w:t>SBC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A745D7">
        <w:rPr>
          <w:sz w:val="24"/>
        </w:rPr>
        <w:t xml:space="preserve"> David Taylor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5734EF" w:rsidRPr="005734EF">
        <w:rPr>
          <w:sz w:val="24"/>
        </w:rPr>
        <w:t>210-886-3813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5734EF" w:rsidRPr="005734EF">
        <w:rPr>
          <w:sz w:val="24"/>
        </w:rPr>
        <w:t>dt9395@txmail.sbc.com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5734EF" w:rsidP="005734EF">
      <w:pPr>
        <w:pStyle w:val="BodyText2"/>
        <w:rPr>
          <w:sz w:val="20"/>
        </w:rPr>
      </w:pPr>
      <w:r w:rsidRPr="005734EF">
        <w:rPr>
          <w:sz w:val="20"/>
        </w:rPr>
        <w:t>Need details for how working packet service affects number ranges in</w:t>
      </w:r>
      <w:r>
        <w:rPr>
          <w:sz w:val="20"/>
        </w:rPr>
        <w:t xml:space="preserve"> </w:t>
      </w:r>
      <w:r w:rsidRPr="005734EF">
        <w:rPr>
          <w:sz w:val="20"/>
        </w:rPr>
        <w:t>context for number pooling.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A80521" w:rsidRDefault="005734EF" w:rsidP="005734EF">
      <w:pPr>
        <w:pStyle w:val="BodyText2"/>
        <w:rPr>
          <w:sz w:val="20"/>
        </w:rPr>
      </w:pPr>
      <w:r w:rsidRPr="005734EF">
        <w:rPr>
          <w:sz w:val="20"/>
        </w:rPr>
        <w:t>Packet service is not portable, and therefore not</w:t>
      </w:r>
      <w:r>
        <w:rPr>
          <w:sz w:val="20"/>
        </w:rPr>
        <w:t xml:space="preserve"> </w:t>
      </w:r>
      <w:proofErr w:type="spellStart"/>
      <w:r w:rsidRPr="005734EF">
        <w:rPr>
          <w:sz w:val="20"/>
        </w:rPr>
        <w:t>poolable</w:t>
      </w:r>
      <w:proofErr w:type="spellEnd"/>
      <w:r w:rsidRPr="005734EF">
        <w:rPr>
          <w:sz w:val="20"/>
        </w:rPr>
        <w:t>. There has been no direction as to the effects of this for evaluating TN</w:t>
      </w:r>
      <w:r>
        <w:rPr>
          <w:sz w:val="20"/>
        </w:rPr>
        <w:t xml:space="preserve"> </w:t>
      </w:r>
      <w:r w:rsidRPr="005734EF">
        <w:rPr>
          <w:sz w:val="20"/>
        </w:rPr>
        <w:t xml:space="preserve">ranges to </w:t>
      </w:r>
      <w:proofErr w:type="gramStart"/>
      <w:r w:rsidRPr="005734EF">
        <w:rPr>
          <w:sz w:val="20"/>
        </w:rPr>
        <w:t>be considered</w:t>
      </w:r>
      <w:proofErr w:type="gramEnd"/>
      <w:r w:rsidRPr="005734EF">
        <w:rPr>
          <w:sz w:val="20"/>
        </w:rPr>
        <w:t xml:space="preserve"> for Number Pooling. SWBT has packet data telephone</w:t>
      </w:r>
      <w:r>
        <w:rPr>
          <w:sz w:val="20"/>
        </w:rPr>
        <w:t xml:space="preserve"> </w:t>
      </w:r>
      <w:r w:rsidRPr="005734EF">
        <w:rPr>
          <w:sz w:val="20"/>
        </w:rPr>
        <w:t>numbers (DTN) assigned/working throughout the TN ranges used for basic rate ISDN</w:t>
      </w:r>
      <w:r>
        <w:rPr>
          <w:sz w:val="20"/>
        </w:rPr>
        <w:t xml:space="preserve"> </w:t>
      </w:r>
      <w:r w:rsidRPr="005734EF">
        <w:rPr>
          <w:sz w:val="20"/>
        </w:rPr>
        <w:t xml:space="preserve">(BRI). These numbers </w:t>
      </w:r>
      <w:proofErr w:type="gramStart"/>
      <w:r w:rsidRPr="005734EF">
        <w:rPr>
          <w:sz w:val="20"/>
        </w:rPr>
        <w:t>cannot be considered</w:t>
      </w:r>
      <w:proofErr w:type="gramEnd"/>
      <w:r w:rsidRPr="005734EF">
        <w:rPr>
          <w:sz w:val="20"/>
        </w:rPr>
        <w:t xml:space="preserve"> as contaminated because we cannot</w:t>
      </w:r>
      <w:r>
        <w:rPr>
          <w:sz w:val="20"/>
        </w:rPr>
        <w:t xml:space="preserve"> </w:t>
      </w:r>
      <w:r w:rsidRPr="005734EF">
        <w:rPr>
          <w:sz w:val="20"/>
        </w:rPr>
        <w:t>donate the range and port the DTNs back to ourselves. Furthermore, we cannot port</w:t>
      </w:r>
      <w:r>
        <w:rPr>
          <w:sz w:val="20"/>
        </w:rPr>
        <w:t xml:space="preserve"> </w:t>
      </w:r>
      <w:r w:rsidRPr="005734EF">
        <w:rPr>
          <w:sz w:val="20"/>
        </w:rPr>
        <w:t>the corresponding voice TN with the same identity. How does this affect Number</w:t>
      </w:r>
      <w:r>
        <w:rPr>
          <w:sz w:val="20"/>
        </w:rPr>
        <w:t xml:space="preserve"> </w:t>
      </w:r>
      <w:r w:rsidRPr="005734EF">
        <w:rPr>
          <w:sz w:val="20"/>
        </w:rPr>
        <w:t xml:space="preserve">Pooling evaluation? Is the 1K block in which these exist unavailable for Pooling? </w:t>
      </w:r>
      <w:proofErr w:type="gramStart"/>
      <w:r w:rsidRPr="005734EF">
        <w:rPr>
          <w:sz w:val="20"/>
        </w:rPr>
        <w:t>Are</w:t>
      </w:r>
      <w:r>
        <w:rPr>
          <w:sz w:val="20"/>
        </w:rPr>
        <w:t xml:space="preserve"> </w:t>
      </w:r>
      <w:r w:rsidRPr="005734EF">
        <w:rPr>
          <w:sz w:val="20"/>
        </w:rPr>
        <w:t>we expected</w:t>
      </w:r>
      <w:proofErr w:type="gramEnd"/>
      <w:r w:rsidRPr="005734EF">
        <w:rPr>
          <w:sz w:val="20"/>
        </w:rPr>
        <w:t xml:space="preserve"> to number change the packet users to </w:t>
      </w:r>
      <w:r>
        <w:rPr>
          <w:sz w:val="20"/>
        </w:rPr>
        <w:t xml:space="preserve">those numbers code owned by the </w:t>
      </w:r>
      <w:r w:rsidRPr="005734EF">
        <w:rPr>
          <w:sz w:val="20"/>
        </w:rPr>
        <w:t>serving switch? If a number change is expected, there is a large impact both to the</w:t>
      </w:r>
      <w:r>
        <w:rPr>
          <w:sz w:val="20"/>
        </w:rPr>
        <w:t xml:space="preserve"> </w:t>
      </w:r>
      <w:r w:rsidRPr="005734EF">
        <w:rPr>
          <w:sz w:val="20"/>
        </w:rPr>
        <w:t>serving phone company and to the end user. The end user would have to re-program</w:t>
      </w:r>
      <w:r>
        <w:rPr>
          <w:sz w:val="20"/>
        </w:rPr>
        <w:t xml:space="preserve"> </w:t>
      </w:r>
      <w:r w:rsidRPr="005734EF">
        <w:rPr>
          <w:sz w:val="20"/>
        </w:rPr>
        <w:t xml:space="preserve">their CPE, possibly notify other agencies to which the number </w:t>
      </w:r>
      <w:proofErr w:type="gramStart"/>
      <w:r w:rsidRPr="005734EF">
        <w:rPr>
          <w:sz w:val="20"/>
        </w:rPr>
        <w:t>is published</w:t>
      </w:r>
      <w:proofErr w:type="gramEnd"/>
      <w:r w:rsidRPr="005734EF">
        <w:rPr>
          <w:sz w:val="20"/>
        </w:rPr>
        <w:t xml:space="preserve"> and the</w:t>
      </w:r>
      <w:r>
        <w:rPr>
          <w:sz w:val="20"/>
        </w:rPr>
        <w:t xml:space="preserve"> </w:t>
      </w:r>
      <w:r w:rsidRPr="005734EF">
        <w:rPr>
          <w:sz w:val="20"/>
        </w:rPr>
        <w:t>serving phone company would have to administer BR</w:t>
      </w:r>
      <w:r>
        <w:rPr>
          <w:sz w:val="20"/>
        </w:rPr>
        <w:t xml:space="preserve">I usage in a range of TNs where </w:t>
      </w:r>
      <w:r w:rsidRPr="005734EF">
        <w:rPr>
          <w:sz w:val="20"/>
        </w:rPr>
        <w:t>BRI has never been assigned. This would seem co</w:t>
      </w:r>
      <w:r>
        <w:rPr>
          <w:sz w:val="20"/>
        </w:rPr>
        <w:t xml:space="preserve">unterproductive to the goals of </w:t>
      </w:r>
      <w:r w:rsidRPr="005734EF">
        <w:rPr>
          <w:sz w:val="20"/>
        </w:rPr>
        <w:t>pooling as number conservation with no impact to end users</w:t>
      </w:r>
      <w:proofErr w:type="gramStart"/>
      <w:r w:rsidRPr="005734EF">
        <w:rPr>
          <w:sz w:val="20"/>
        </w:rPr>
        <w:t>.</w:t>
      </w:r>
      <w:r w:rsidR="00C66E22" w:rsidRPr="00C66E22">
        <w:rPr>
          <w:sz w:val="20"/>
        </w:rPr>
        <w:t>.</w:t>
      </w:r>
      <w:proofErr w:type="gramEnd"/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A3C1E" w:rsidRDefault="004A3C1E">
      <w:pPr>
        <w:pStyle w:val="BodyText2"/>
        <w:rPr>
          <w:sz w:val="20"/>
        </w:rPr>
      </w:pP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4A3C1E" w:rsidRDefault="005734EF">
      <w:pPr>
        <w:pStyle w:val="BodyText2"/>
        <w:rPr>
          <w:sz w:val="20"/>
        </w:rPr>
      </w:pPr>
      <w:r>
        <w:rPr>
          <w:sz w:val="20"/>
        </w:rPr>
        <w:t>There is no published existing process.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5734EF" w:rsidP="005734EF">
      <w:pPr>
        <w:pStyle w:val="BodyText2"/>
        <w:rPr>
          <w:sz w:val="20"/>
        </w:rPr>
      </w:pPr>
      <w:r w:rsidRPr="005734EF">
        <w:rPr>
          <w:sz w:val="20"/>
        </w:rPr>
        <w:t>Heretofore, all companies have</w:t>
      </w:r>
      <w:r>
        <w:rPr>
          <w:sz w:val="20"/>
        </w:rPr>
        <w:t xml:space="preserve"> </w:t>
      </w:r>
      <w:r w:rsidRPr="005734EF">
        <w:rPr>
          <w:sz w:val="20"/>
        </w:rPr>
        <w:t>avoided this scenario in trials or testing.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80521" w:rsidRDefault="00B31251" w:rsidP="00B31251">
      <w:pPr>
        <w:pStyle w:val="BodyText3"/>
      </w:pPr>
      <w:r>
        <w:t>The TN ranges having working/assigned packet service be excluded from Pooling consideration</w:t>
      </w:r>
      <w:proofErr w:type="gramStart"/>
      <w:r>
        <w:t>.</w:t>
      </w:r>
      <w:r w:rsidR="00C66E22" w:rsidRPr="00C66E22">
        <w:t>.</w:t>
      </w:r>
      <w:proofErr w:type="gramEnd"/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C66E22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C66E22">
        <w:t xml:space="preserve">Through discussion, it was determined that while packet service </w:t>
      </w:r>
      <w:proofErr w:type="gramStart"/>
      <w:r w:rsidRPr="00C66E22">
        <w:t>could not be ported</w:t>
      </w:r>
      <w:proofErr w:type="gramEnd"/>
      <w:r w:rsidRPr="00C66E22">
        <w:t xml:space="preserve">, a TN assigned to packet service was portable and could be intra-SP ported to the serving switch without detriment to the packet service.  Since this is the process for all contaminated TN’s in blocks to </w:t>
      </w:r>
      <w:proofErr w:type="gramStart"/>
      <w:r w:rsidRPr="00C66E22">
        <w:t>be donated</w:t>
      </w:r>
      <w:proofErr w:type="gramEnd"/>
      <w:r w:rsidRPr="00C66E22">
        <w:t xml:space="preserve">, this would not be a factor that would prohibit the block from donation.  It is the WG’s opinion that packet service would not meet the definition in the INC guidelines.  This issue </w:t>
      </w:r>
      <w:proofErr w:type="gramStart"/>
      <w:r w:rsidRPr="00C66E22">
        <w:t>will be closed</w:t>
      </w:r>
      <w:proofErr w:type="gramEnd"/>
      <w:r w:rsidRPr="00C66E22">
        <w:t xml:space="preserve">.  A letter </w:t>
      </w:r>
      <w:proofErr w:type="gramStart"/>
      <w:r w:rsidRPr="00C66E22">
        <w:t>will be sent</w:t>
      </w:r>
      <w:proofErr w:type="gramEnd"/>
      <w:r w:rsidRPr="00C66E22">
        <w:t xml:space="preserve"> to the </w:t>
      </w:r>
      <w:r w:rsidR="006328B2">
        <w:t>s</w:t>
      </w:r>
      <w:r w:rsidRPr="00C66E22">
        <w:t xml:space="preserve">ubmitter and to INC explaining the issue and our interpretation of the pooling guidelines.  If the submitter does not agree with the WG’s decision in this matter, this </w:t>
      </w:r>
      <w:proofErr w:type="gramStart"/>
      <w:r w:rsidRPr="00C66E22">
        <w:t>can be escalated</w:t>
      </w:r>
      <w:proofErr w:type="gramEnd"/>
      <w:r w:rsidRPr="00C66E22">
        <w:t xml:space="preserve"> as shown in the PIM process guidelines</w:t>
      </w:r>
      <w:r w:rsidR="009F4670" w:rsidRPr="009F4670">
        <w:t>.</w:t>
      </w:r>
    </w:p>
    <w:p w:rsidR="00913A91" w:rsidRDefault="00913A91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9F4670" w:rsidRPr="00C66E22">
        <w:rPr>
          <w:sz w:val="24"/>
          <w:szCs w:val="24"/>
        </w:rPr>
        <w:t>1/19/</w:t>
      </w:r>
      <w:r w:rsidR="006328B2">
        <w:rPr>
          <w:sz w:val="24"/>
          <w:szCs w:val="24"/>
        </w:rPr>
        <w:t>20</w:t>
      </w:r>
      <w:r w:rsidR="00E05F95">
        <w:rPr>
          <w:sz w:val="24"/>
          <w:szCs w:val="24"/>
        </w:rPr>
        <w:t>00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913A91" w:rsidRPr="00C66E22">
        <w:rPr>
          <w:sz w:val="24"/>
          <w:szCs w:val="24"/>
        </w:rPr>
        <w:t xml:space="preserve"> #</w:t>
      </w:r>
      <w:r w:rsidR="00913A91" w:rsidRPr="00C66E22">
        <w:rPr>
          <w:sz w:val="24"/>
          <w:szCs w:val="24"/>
        </w:rPr>
        <w:tab/>
      </w:r>
      <w:r w:rsidR="009F4670" w:rsidRPr="00C66E22">
        <w:rPr>
          <w:sz w:val="24"/>
          <w:szCs w:val="24"/>
        </w:rPr>
        <w:t>00</w:t>
      </w:r>
      <w:r w:rsidR="00E05F95">
        <w:rPr>
          <w:sz w:val="24"/>
          <w:szCs w:val="24"/>
        </w:rPr>
        <w:t>4</w:t>
      </w:r>
      <w:r w:rsidR="002E5F4A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Documents:</w:t>
      </w:r>
      <w:r w:rsidR="00C66E22" w:rsidRPr="00C66E22">
        <w:rPr>
          <w:sz w:val="24"/>
          <w:szCs w:val="24"/>
        </w:rPr>
        <w:t xml:space="preserve"> INC Pooling Guideline </w:t>
      </w:r>
      <w:r w:rsidR="00E05F95">
        <w:rPr>
          <w:sz w:val="24"/>
          <w:szCs w:val="24"/>
        </w:rPr>
        <w:t>8.2.5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 xml:space="preserve">Issue Resolution Referred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  <w:bookmarkStart w:id="0" w:name="_GoBack"/>
      <w:bookmarkEnd w:id="0"/>
    </w:p>
    <w:sectPr w:rsidR="00281F67" w:rsidRPr="00C66E2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8B2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C16CD"/>
    <w:rsid w:val="000C58C0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361CD"/>
    <w:rsid w:val="0025574E"/>
    <w:rsid w:val="00257EF2"/>
    <w:rsid w:val="00280E29"/>
    <w:rsid w:val="00281DDA"/>
    <w:rsid w:val="00281F67"/>
    <w:rsid w:val="002A3B4B"/>
    <w:rsid w:val="002A4C42"/>
    <w:rsid w:val="002A7914"/>
    <w:rsid w:val="002B2AE1"/>
    <w:rsid w:val="002E5F4A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734EF"/>
    <w:rsid w:val="00582722"/>
    <w:rsid w:val="005A61A9"/>
    <w:rsid w:val="005B655C"/>
    <w:rsid w:val="005E0106"/>
    <w:rsid w:val="00600CDD"/>
    <w:rsid w:val="006138FF"/>
    <w:rsid w:val="006328B2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27642"/>
    <w:rsid w:val="008307C3"/>
    <w:rsid w:val="00834C1D"/>
    <w:rsid w:val="0083598C"/>
    <w:rsid w:val="0086605A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9F4670"/>
    <w:rsid w:val="00A04B52"/>
    <w:rsid w:val="00A1613B"/>
    <w:rsid w:val="00A31915"/>
    <w:rsid w:val="00A367DE"/>
    <w:rsid w:val="00A654CC"/>
    <w:rsid w:val="00A745D7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31251"/>
    <w:rsid w:val="00B616D9"/>
    <w:rsid w:val="00B7537D"/>
    <w:rsid w:val="00BD0B37"/>
    <w:rsid w:val="00BD4651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94648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21A2C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0B5AC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4</cp:revision>
  <cp:lastPrinted>1999-05-19T19:58:00Z</cp:lastPrinted>
  <dcterms:created xsi:type="dcterms:W3CDTF">2020-11-24T15:47:00Z</dcterms:created>
  <dcterms:modified xsi:type="dcterms:W3CDTF">2020-12-09T18:53:00Z</dcterms:modified>
</cp:coreProperties>
</file>