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67" w:rsidRDefault="00281F67">
      <w:pPr>
        <w:pStyle w:val="Title"/>
        <w:shd w:val="clear" w:color="auto" w:fill="C0C0C0"/>
      </w:pPr>
      <w:r>
        <w:t>LNP Problem/Issue Identification and Description Form</w:t>
      </w:r>
    </w:p>
    <w:p w:rsidR="00281F67" w:rsidRDefault="00281F67">
      <w:pPr>
        <w:rPr>
          <w:sz w:val="24"/>
        </w:rPr>
      </w:pPr>
    </w:p>
    <w:p w:rsidR="00281F67" w:rsidRDefault="00281F67">
      <w:pPr>
        <w:rPr>
          <w:sz w:val="24"/>
        </w:rPr>
      </w:pP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</w:t>
      </w:r>
      <w:proofErr w:type="spellStart"/>
      <w:r>
        <w:rPr>
          <w:sz w:val="24"/>
        </w:rPr>
        <w:t>dd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 xml:space="preserve">):  </w:t>
      </w:r>
      <w:r w:rsidR="009E1F41">
        <w:rPr>
          <w:sz w:val="24"/>
        </w:rPr>
        <w:t>04</w:t>
      </w:r>
      <w:r w:rsidR="002204DF">
        <w:rPr>
          <w:sz w:val="24"/>
        </w:rPr>
        <w:t>/</w:t>
      </w:r>
      <w:r w:rsidR="009E1F41">
        <w:rPr>
          <w:sz w:val="24"/>
        </w:rPr>
        <w:t>17</w:t>
      </w:r>
      <w:r w:rsidR="002204DF">
        <w:rPr>
          <w:sz w:val="24"/>
        </w:rPr>
        <w:t>/2002</w:t>
      </w:r>
      <w:r w:rsidR="000D5975">
        <w:rPr>
          <w:sz w:val="24"/>
        </w:rPr>
        <w:tab/>
      </w:r>
      <w:r w:rsidR="000D5975">
        <w:rPr>
          <w:sz w:val="24"/>
        </w:rPr>
        <w:tab/>
      </w:r>
      <w:r w:rsidR="000D5975">
        <w:rPr>
          <w:sz w:val="24"/>
        </w:rPr>
        <w:tab/>
      </w:r>
      <w:r w:rsidR="000D5975">
        <w:rPr>
          <w:sz w:val="24"/>
        </w:rPr>
        <w:tab/>
      </w:r>
      <w:r w:rsidR="000D5975" w:rsidRPr="000D5975">
        <w:rPr>
          <w:b/>
          <w:sz w:val="24"/>
        </w:rPr>
        <w:t>PIM 0</w:t>
      </w:r>
      <w:r w:rsidR="00595F3A">
        <w:rPr>
          <w:b/>
          <w:sz w:val="24"/>
        </w:rPr>
        <w:t>19</w:t>
      </w:r>
      <w:r w:rsidR="000D5975" w:rsidRPr="000D5975">
        <w:rPr>
          <w:b/>
          <w:sz w:val="24"/>
        </w:rPr>
        <w:t xml:space="preserve"> v2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9E1F41">
        <w:rPr>
          <w:sz w:val="24"/>
        </w:rPr>
        <w:t xml:space="preserve"> SBC</w:t>
      </w:r>
    </w:p>
    <w:p w:rsidR="002A037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Contact(s):  Name</w:t>
      </w:r>
      <w:r w:rsidR="009E1F41">
        <w:rPr>
          <w:sz w:val="24"/>
        </w:rPr>
        <w:t xml:space="preserve"> Charles </w:t>
      </w:r>
      <w:proofErr w:type="spellStart"/>
      <w:r w:rsidR="009E1F41">
        <w:rPr>
          <w:sz w:val="24"/>
        </w:rPr>
        <w:t>Ryburn</w:t>
      </w:r>
      <w:proofErr w:type="spellEnd"/>
    </w:p>
    <w:p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>
        <w:rPr>
          <w:sz w:val="24"/>
        </w:rPr>
        <w:t xml:space="preserve"> </w:t>
      </w:r>
    </w:p>
    <w:p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bookmarkStart w:id="0" w:name="_GoBack"/>
      <w:bookmarkEnd w:id="0"/>
      <w:r>
        <w:rPr>
          <w:b/>
          <w:sz w:val="24"/>
        </w:rPr>
        <w:t>Email Address</w:t>
      </w:r>
      <w:r>
        <w:rPr>
          <w:sz w:val="24"/>
        </w:rPr>
        <w:t xml:space="preserve">   </w:t>
      </w:r>
      <w:r w:rsidR="009E1F41" w:rsidRPr="009E1F41">
        <w:rPr>
          <w:sz w:val="24"/>
        </w:rPr>
        <w:t>cr1551@sbc.com</w:t>
      </w:r>
    </w:p>
    <w:p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:rsidR="00281F67" w:rsidRDefault="00281F67">
      <w:pPr>
        <w:rPr>
          <w:sz w:val="24"/>
          <w:u w:val="single"/>
        </w:rPr>
      </w:pPr>
    </w:p>
    <w:p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:rsidR="00A04B52" w:rsidRPr="005511C4" w:rsidRDefault="00A04B52" w:rsidP="00A04B52">
      <w:pPr>
        <w:ind w:left="360"/>
      </w:pPr>
    </w:p>
    <w:p w:rsidR="005B655C" w:rsidRDefault="00B84B11" w:rsidP="00B84B11">
      <w:pPr>
        <w:pStyle w:val="BodyText2"/>
        <w:rPr>
          <w:sz w:val="20"/>
        </w:rPr>
      </w:pPr>
      <w:r w:rsidRPr="00B84B11">
        <w:rPr>
          <w:sz w:val="20"/>
        </w:rPr>
        <w:t xml:space="preserve">We have noticed there are </w:t>
      </w:r>
      <w:proofErr w:type="gramStart"/>
      <w:r w:rsidRPr="00B84B11">
        <w:rPr>
          <w:sz w:val="20"/>
        </w:rPr>
        <w:t>a lot of</w:t>
      </w:r>
      <w:proofErr w:type="gramEnd"/>
      <w:r w:rsidRPr="00B84B11">
        <w:rPr>
          <w:sz w:val="20"/>
        </w:rPr>
        <w:t xml:space="preserve"> Intra-provider ports from a pooling block</w:t>
      </w:r>
      <w:r>
        <w:rPr>
          <w:sz w:val="20"/>
        </w:rPr>
        <w:t xml:space="preserve"> </w:t>
      </w:r>
      <w:r w:rsidRPr="00B84B11">
        <w:rPr>
          <w:sz w:val="20"/>
        </w:rPr>
        <w:t xml:space="preserve">to the same SPID and LRN. 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:rsidR="00B84B11" w:rsidRDefault="00B84B11" w:rsidP="00B84B11">
      <w:pPr>
        <w:pStyle w:val="BodyText2"/>
        <w:rPr>
          <w:sz w:val="20"/>
        </w:rPr>
      </w:pPr>
      <w:r w:rsidRPr="00B84B11">
        <w:rPr>
          <w:sz w:val="20"/>
        </w:rPr>
        <w:t>When preparing for EDR, we found the following situation:</w:t>
      </w:r>
      <w:r w:rsidRPr="00B84B11">
        <w:rPr>
          <w:sz w:val="20"/>
        </w:rPr>
        <w:tab/>
      </w:r>
    </w:p>
    <w:p w:rsidR="00B84B11" w:rsidRPr="00B84B11" w:rsidRDefault="00B84B11" w:rsidP="00B84B11">
      <w:pPr>
        <w:pStyle w:val="BodyText2"/>
        <w:rPr>
          <w:sz w:val="20"/>
        </w:rPr>
      </w:pPr>
      <w:proofErr w:type="gramStart"/>
      <w:r>
        <w:rPr>
          <w:sz w:val="20"/>
        </w:rPr>
        <w:t xml:space="preserve">TNs which are ported </w:t>
      </w:r>
      <w:r w:rsidRPr="00B84B11">
        <w:rPr>
          <w:sz w:val="20"/>
        </w:rPr>
        <w:t>away from a pool</w:t>
      </w:r>
      <w:proofErr w:type="gramEnd"/>
      <w:r w:rsidRPr="00B84B11">
        <w:rPr>
          <w:sz w:val="20"/>
        </w:rPr>
        <w:t xml:space="preserve"> block to the exact same SPID and LRN.</w:t>
      </w:r>
    </w:p>
    <w:p w:rsidR="00B84B11" w:rsidRPr="00B84B11" w:rsidRDefault="00B84B11" w:rsidP="00B84B11">
      <w:pPr>
        <w:pStyle w:val="BodyText2"/>
        <w:rPr>
          <w:sz w:val="20"/>
        </w:rPr>
      </w:pPr>
      <w:r w:rsidRPr="00B84B11">
        <w:rPr>
          <w:sz w:val="20"/>
        </w:rPr>
        <w:t>These are either Inter or Intra-provider ported.</w:t>
      </w:r>
      <w:r>
        <w:rPr>
          <w:sz w:val="20"/>
        </w:rPr>
        <w:t xml:space="preserve">  </w:t>
      </w:r>
      <w:r w:rsidRPr="00B84B11">
        <w:rPr>
          <w:sz w:val="20"/>
        </w:rPr>
        <w:t>Is there a reason to do a</w:t>
      </w:r>
      <w:r>
        <w:rPr>
          <w:sz w:val="20"/>
        </w:rPr>
        <w:t xml:space="preserve"> </w:t>
      </w:r>
      <w:r w:rsidRPr="00B84B11">
        <w:rPr>
          <w:sz w:val="20"/>
        </w:rPr>
        <w:t>subsequent port?</w:t>
      </w:r>
      <w:r w:rsidRPr="00B84B11">
        <w:rPr>
          <w:sz w:val="20"/>
        </w:rPr>
        <w:tab/>
        <w:t>We thought this might be associated with the assignment by</w:t>
      </w:r>
      <w:r>
        <w:rPr>
          <w:sz w:val="20"/>
        </w:rPr>
        <w:t xml:space="preserve"> </w:t>
      </w:r>
      <w:r w:rsidRPr="00B84B11">
        <w:rPr>
          <w:sz w:val="20"/>
        </w:rPr>
        <w:t xml:space="preserve">the new </w:t>
      </w:r>
      <w:proofErr w:type="spellStart"/>
      <w:r w:rsidRPr="00B84B11">
        <w:rPr>
          <w:sz w:val="20"/>
        </w:rPr>
        <w:t>blockholder</w:t>
      </w:r>
      <w:proofErr w:type="spellEnd"/>
      <w:r w:rsidRPr="00B84B11">
        <w:rPr>
          <w:sz w:val="20"/>
        </w:rPr>
        <w:t xml:space="preserve"> of the TN to a user.</w:t>
      </w:r>
    </w:p>
    <w:p w:rsidR="00A80521" w:rsidRDefault="00B84B11" w:rsidP="00B84B11">
      <w:pPr>
        <w:pStyle w:val="BodyText2"/>
        <w:rPr>
          <w:sz w:val="20"/>
        </w:rPr>
      </w:pPr>
      <w:r w:rsidRPr="00B84B11">
        <w:rPr>
          <w:sz w:val="20"/>
        </w:rPr>
        <w:t>We believe this practice of porting will defeat the purpose of pooling if it</w:t>
      </w:r>
      <w:r>
        <w:rPr>
          <w:sz w:val="20"/>
        </w:rPr>
        <w:t xml:space="preserve"> </w:t>
      </w:r>
      <w:proofErr w:type="gramStart"/>
      <w:r w:rsidRPr="00B84B11">
        <w:rPr>
          <w:sz w:val="20"/>
        </w:rPr>
        <w:t>is used</w:t>
      </w:r>
      <w:proofErr w:type="gramEnd"/>
      <w:r w:rsidRPr="00B84B11">
        <w:rPr>
          <w:sz w:val="20"/>
        </w:rPr>
        <w:t xml:space="preserve"> as a 'practice'.</w:t>
      </w:r>
    </w:p>
    <w:p w:rsidR="00281F67" w:rsidRDefault="00281F67">
      <w:pPr>
        <w:rPr>
          <w:sz w:val="24"/>
        </w:rPr>
      </w:pPr>
    </w:p>
    <w:p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:rsidR="00A80521" w:rsidRDefault="00B84B11">
      <w:pPr>
        <w:pStyle w:val="BodyText2"/>
        <w:rPr>
          <w:sz w:val="20"/>
        </w:rPr>
      </w:pPr>
      <w:r>
        <w:rPr>
          <w:sz w:val="20"/>
        </w:rPr>
        <w:t>Once a week</w:t>
      </w:r>
    </w:p>
    <w:p w:rsidR="00281F67" w:rsidRDefault="00281F67">
      <w:pPr>
        <w:rPr>
          <w:sz w:val="24"/>
        </w:rPr>
      </w:pPr>
    </w:p>
    <w:p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</w:t>
      </w:r>
      <w:proofErr w:type="spellStart"/>
      <w:r w:rsidR="00281F67">
        <w:rPr>
          <w:sz w:val="20"/>
        </w:rPr>
        <w:t>Southeast_</w:t>
      </w:r>
      <w:r w:rsidR="00B84B11">
        <w:rPr>
          <w:sz w:val="20"/>
        </w:rPr>
        <w:t>X</w:t>
      </w:r>
      <w:proofErr w:type="spellEnd"/>
      <w:r w:rsidR="00281F67">
        <w:rPr>
          <w:sz w:val="20"/>
        </w:rPr>
        <w:t xml:space="preserve">__ </w:t>
      </w:r>
      <w:proofErr w:type="spellStart"/>
      <w:r w:rsidR="00281F67">
        <w:rPr>
          <w:sz w:val="20"/>
        </w:rPr>
        <w:t>Southwest_</w:t>
      </w:r>
      <w:r w:rsidR="00B84B11">
        <w:rPr>
          <w:sz w:val="20"/>
        </w:rPr>
        <w:t>X</w:t>
      </w:r>
      <w:proofErr w:type="spellEnd"/>
      <w:r w:rsidR="00281F67">
        <w:rPr>
          <w:sz w:val="20"/>
        </w:rPr>
        <w:t xml:space="preserve">__ Western___     </w:t>
      </w:r>
    </w:p>
    <w:p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</w:t>
      </w:r>
      <w:proofErr w:type="spellStart"/>
      <w:r>
        <w:rPr>
          <w:sz w:val="20"/>
        </w:rPr>
        <w:t>Coast_</w:t>
      </w:r>
      <w:r w:rsidR="00B84B11">
        <w:rPr>
          <w:sz w:val="20"/>
        </w:rPr>
        <w:t>X</w:t>
      </w:r>
      <w:proofErr w:type="spellEnd"/>
      <w:r>
        <w:rPr>
          <w:sz w:val="20"/>
        </w:rPr>
        <w:t>_</w:t>
      </w:r>
      <w:proofErr w:type="gramStart"/>
      <w:r>
        <w:rPr>
          <w:sz w:val="20"/>
        </w:rPr>
        <w:t>_  ALL</w:t>
      </w:r>
      <w:proofErr w:type="gramEnd"/>
      <w:r w:rsidR="00B616D9">
        <w:rPr>
          <w:sz w:val="20"/>
        </w:rPr>
        <w:t xml:space="preserve"> </w:t>
      </w:r>
    </w:p>
    <w:p w:rsidR="00281F67" w:rsidRDefault="00281F67">
      <w:pPr>
        <w:rPr>
          <w:sz w:val="24"/>
        </w:rPr>
      </w:pPr>
    </w:p>
    <w:p w:rsidR="00F17FA1" w:rsidRDefault="00F17FA1">
      <w:pPr>
        <w:rPr>
          <w:sz w:val="24"/>
        </w:rPr>
      </w:pPr>
    </w:p>
    <w:p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:rsidR="00B84B11" w:rsidRPr="00B84B11" w:rsidRDefault="00B84B11" w:rsidP="00B84B11">
      <w:pPr>
        <w:pStyle w:val="BodyText2"/>
        <w:rPr>
          <w:sz w:val="20"/>
        </w:rPr>
      </w:pPr>
      <w:r w:rsidRPr="00B84B11">
        <w:rPr>
          <w:sz w:val="20"/>
        </w:rPr>
        <w:t xml:space="preserve">We believe this practice may be used in more than just a couple of </w:t>
      </w:r>
      <w:proofErr w:type="gramStart"/>
      <w:r w:rsidRPr="00B84B11">
        <w:rPr>
          <w:sz w:val="20"/>
        </w:rPr>
        <w:t>regions</w:t>
      </w:r>
      <w:proofErr w:type="gramEnd"/>
      <w:r w:rsidRPr="00B84B11">
        <w:rPr>
          <w:sz w:val="20"/>
        </w:rPr>
        <w:t>.</w:t>
      </w:r>
    </w:p>
    <w:p w:rsidR="00B84B11" w:rsidRPr="00B84B11" w:rsidRDefault="00B84B11" w:rsidP="00B84B11">
      <w:pPr>
        <w:pStyle w:val="BodyText2"/>
        <w:rPr>
          <w:sz w:val="20"/>
        </w:rPr>
      </w:pPr>
      <w:r w:rsidRPr="00B84B11">
        <w:rPr>
          <w:sz w:val="20"/>
        </w:rPr>
        <w:t>By subsequent porting, defeats some of the benefits derived from pooling and</w:t>
      </w:r>
    </w:p>
    <w:p w:rsidR="00A80521" w:rsidRDefault="00B84B11">
      <w:pPr>
        <w:pStyle w:val="BodyText2"/>
        <w:rPr>
          <w:sz w:val="20"/>
        </w:rPr>
      </w:pPr>
      <w:r w:rsidRPr="00B84B11">
        <w:rPr>
          <w:sz w:val="20"/>
        </w:rPr>
        <w:t>EDR.</w:t>
      </w:r>
    </w:p>
    <w:p w:rsidR="00281F67" w:rsidRDefault="00281F67">
      <w:pPr>
        <w:rPr>
          <w:sz w:val="24"/>
        </w:rPr>
      </w:pPr>
    </w:p>
    <w:p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:rsidR="004A3C1E" w:rsidRDefault="004A3C1E" w:rsidP="000D5975">
      <w:pPr>
        <w:pStyle w:val="BodyText2"/>
        <w:rPr>
          <w:sz w:val="20"/>
        </w:rPr>
      </w:pPr>
    </w:p>
    <w:p w:rsidR="00281F67" w:rsidRPr="00257EF2" w:rsidRDefault="00281F67">
      <w:pPr>
        <w:pStyle w:val="BodyText2"/>
        <w:rPr>
          <w:sz w:val="20"/>
        </w:rPr>
      </w:pPr>
    </w:p>
    <w:p w:rsidR="00281F67" w:rsidRDefault="00281F67">
      <w:pPr>
        <w:rPr>
          <w:sz w:val="24"/>
        </w:rPr>
      </w:pPr>
    </w:p>
    <w:p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:rsidR="00B84B11" w:rsidRPr="00B84B11" w:rsidRDefault="00B84B11" w:rsidP="00B84B11">
      <w:pPr>
        <w:pStyle w:val="BodyText2"/>
        <w:rPr>
          <w:sz w:val="20"/>
        </w:rPr>
      </w:pPr>
      <w:r w:rsidRPr="00B84B11">
        <w:rPr>
          <w:sz w:val="20"/>
        </w:rPr>
        <w:t>We have done counts and have found several SPIDs associated with this type</w:t>
      </w:r>
    </w:p>
    <w:p w:rsidR="006E54DE" w:rsidRPr="00B84B11" w:rsidRDefault="00B84B11" w:rsidP="00B84B11">
      <w:pPr>
        <w:pStyle w:val="BodyText2"/>
        <w:rPr>
          <w:sz w:val="20"/>
        </w:rPr>
      </w:pPr>
      <w:proofErr w:type="gramStart"/>
      <w:r w:rsidRPr="00B84B11">
        <w:rPr>
          <w:sz w:val="20"/>
        </w:rPr>
        <w:t>of</w:t>
      </w:r>
      <w:proofErr w:type="gramEnd"/>
      <w:r w:rsidRPr="00B84B11">
        <w:rPr>
          <w:sz w:val="20"/>
        </w:rPr>
        <w:t xml:space="preserve"> porting.</w:t>
      </w:r>
    </w:p>
    <w:p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:rsidR="00C141A7" w:rsidRDefault="00C141A7">
      <w:pPr>
        <w:rPr>
          <w:sz w:val="24"/>
        </w:rPr>
      </w:pPr>
    </w:p>
    <w:p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:rsidR="00281F67" w:rsidRDefault="00281F67">
      <w:pPr>
        <w:rPr>
          <w:sz w:val="24"/>
        </w:rPr>
      </w:pPr>
    </w:p>
    <w:p w:rsidR="00B84B11" w:rsidRDefault="00B84B11" w:rsidP="00B84B11">
      <w:pPr>
        <w:pStyle w:val="BodyText3"/>
      </w:pPr>
      <w:r>
        <w:t>Discuss this item at LNPA WG and determine if this is common practice and if there is a benefit if it continues. Determine if subsequent porting of a pooled SV is desired behavior when a TN.</w:t>
      </w:r>
    </w:p>
    <w:p w:rsidR="00B84B11" w:rsidRDefault="00B84B11" w:rsidP="00B84B11">
      <w:pPr>
        <w:pStyle w:val="BodyText3"/>
      </w:pPr>
      <w:proofErr w:type="gramStart"/>
      <w:r>
        <w:t>is</w:t>
      </w:r>
      <w:proofErr w:type="gramEnd"/>
      <w:r>
        <w:t xml:space="preserve"> assigned (same old and new SPID - same old and new LRN)</w:t>
      </w:r>
    </w:p>
    <w:p w:rsidR="00A80521" w:rsidRDefault="00B84B11" w:rsidP="00B84B11">
      <w:pPr>
        <w:pStyle w:val="BodyText3"/>
      </w:pPr>
      <w:r>
        <w:lastRenderedPageBreak/>
        <w:t xml:space="preserve">If this is not the desired behavior, then as an industry determine what needs to </w:t>
      </w:r>
      <w:proofErr w:type="gramStart"/>
      <w:r>
        <w:t>be done</w:t>
      </w:r>
      <w:proofErr w:type="gramEnd"/>
      <w:r>
        <w:t xml:space="preserve"> to eliminate the practice.</w:t>
      </w:r>
    </w:p>
    <w:p w:rsidR="00281F67" w:rsidRDefault="00281F67">
      <w:pPr>
        <w:rPr>
          <w:sz w:val="24"/>
        </w:rPr>
      </w:pPr>
    </w:p>
    <w:p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:rsidR="00E022D3" w:rsidRDefault="00E022D3" w:rsidP="00E0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At the August LNPA, the group agreed that the following advisory </w:t>
      </w:r>
      <w:proofErr w:type="gramStart"/>
      <w:r>
        <w:t>will be sent</w:t>
      </w:r>
      <w:proofErr w:type="gramEnd"/>
      <w:r>
        <w:t xml:space="preserve"> to the LNPA WG, WNPO, Portability, Inc., Pooling Administrator, and Cross-Regional distribution lists:</w:t>
      </w:r>
    </w:p>
    <w:p w:rsidR="00E022D3" w:rsidRDefault="00E022D3" w:rsidP="00E0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</w:p>
    <w:p w:rsidR="00A80521" w:rsidRPr="00E022D3" w:rsidRDefault="00E022D3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>
        <w:t xml:space="preserve">“Some service providers, after activating a pooled block, are performing intra-SP or inter-SP ports using the same LRN and GTT data as the number pooled block.  In addition, some service providers have contaminated TNs, and later activate a number pooled block with an LRN and GTT data </w:t>
      </w:r>
      <w:proofErr w:type="gramStart"/>
      <w:r>
        <w:t>exactly the</w:t>
      </w:r>
      <w:proofErr w:type="gramEnd"/>
      <w:r>
        <w:t xml:space="preserve"> same as the contaminated TNs.  In both instances, the </w:t>
      </w:r>
      <w:proofErr w:type="gramStart"/>
      <w:r>
        <w:t>end result</w:t>
      </w:r>
      <w:proofErr w:type="gramEnd"/>
      <w:r>
        <w:t xml:space="preserve"> is the inefficient perpetuation of individual intra-SP or inter-SP subscription versions, rather than the more appropriate pooled number block-based routing.  Service providers are advised that individual intra-SP or inter-SP ports should be prevented and deleted by the </w:t>
      </w:r>
      <w:proofErr w:type="spellStart"/>
      <w:r>
        <w:t>blockholder</w:t>
      </w:r>
      <w:proofErr w:type="spellEnd"/>
      <w:r>
        <w:t xml:space="preserve"> when these individual subscription versions have the same routing data (LRN and GTT) as the pooled number block in which they are contained.”</w:t>
      </w:r>
    </w:p>
    <w:p w:rsidR="00913A91" w:rsidRDefault="00913A91">
      <w:pPr>
        <w:rPr>
          <w:sz w:val="24"/>
        </w:rPr>
      </w:pP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b/>
          <w:sz w:val="24"/>
          <w:u w:val="single"/>
        </w:rPr>
        <w:t>LNPA WG:</w:t>
      </w:r>
      <w:r>
        <w:rPr>
          <w:sz w:val="24"/>
        </w:rPr>
        <w:t xml:space="preserve"> (only)</w:t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</w:r>
      <w:r w:rsidR="009A6F2A">
        <w:rPr>
          <w:sz w:val="24"/>
        </w:rPr>
        <w:tab/>
        <w:t>Final Resolution Date:</w:t>
      </w:r>
      <w:r w:rsidR="004B3C35">
        <w:rPr>
          <w:sz w:val="24"/>
        </w:rPr>
        <w:t xml:space="preserve"> 8</w:t>
      </w:r>
      <w:r w:rsidR="003D4928">
        <w:rPr>
          <w:sz w:val="24"/>
        </w:rPr>
        <w:t>/1</w:t>
      </w:r>
      <w:r w:rsidR="004B3C35">
        <w:rPr>
          <w:sz w:val="24"/>
        </w:rPr>
        <w:t>4</w:t>
      </w:r>
      <w:r w:rsidR="003D4928">
        <w:rPr>
          <w:sz w:val="24"/>
        </w:rPr>
        <w:t>/200</w:t>
      </w:r>
      <w:r w:rsidR="004B3C35">
        <w:rPr>
          <w:sz w:val="24"/>
        </w:rPr>
        <w:t>2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Item Number: </w:t>
      </w:r>
      <w:r w:rsidR="00437DB6">
        <w:rPr>
          <w:sz w:val="24"/>
        </w:rPr>
        <w:t>PIM</w:t>
      </w:r>
      <w:r w:rsidR="004B3C35">
        <w:rPr>
          <w:sz w:val="24"/>
        </w:rPr>
        <w:t xml:space="preserve"> 019</w:t>
      </w:r>
      <w:r w:rsidR="000D5975">
        <w:rPr>
          <w:sz w:val="24"/>
        </w:rPr>
        <w:t xml:space="preserve"> v2</w:t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>
        <w:rPr>
          <w:sz w:val="24"/>
        </w:rPr>
        <w:tab/>
      </w:r>
      <w:r w:rsidR="00913A91" w:rsidRPr="009A6F2A">
        <w:rPr>
          <w:sz w:val="24"/>
        </w:rPr>
        <w:t>Related Documents:</w:t>
      </w:r>
    </w:p>
    <w:p w:rsidR="00281F67" w:rsidRDefault="004B3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sz w:val="24"/>
        </w:rPr>
      </w:pPr>
      <w:r>
        <w:rPr>
          <w:sz w:val="24"/>
        </w:rPr>
        <w:t xml:space="preserve">Issue Resolution Referred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>:</w:t>
      </w:r>
    </w:p>
    <w:p w:rsidR="00281F67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</w:pPr>
      <w:r>
        <w:rPr>
          <w:sz w:val="24"/>
        </w:rPr>
        <w:t>Why Issue Referred:</w:t>
      </w:r>
      <w:r>
        <w:t xml:space="preserve"> </w:t>
      </w:r>
    </w:p>
    <w:sectPr w:rsidR="00281F6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96" w:rsidRDefault="004E3A96">
      <w:r>
        <w:separator/>
      </w:r>
    </w:p>
  </w:endnote>
  <w:endnote w:type="continuationSeparator" w:id="0">
    <w:p w:rsidR="004E3A96" w:rsidRDefault="004E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376">
      <w:rPr>
        <w:rStyle w:val="PageNumber"/>
        <w:noProof/>
      </w:rPr>
      <w:t>2</w:t>
    </w:r>
    <w:r>
      <w:rPr>
        <w:rStyle w:val="PageNumber"/>
      </w:rPr>
      <w:fldChar w:fldCharType="end"/>
    </w:r>
  </w:p>
  <w:p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96" w:rsidRDefault="004E3A96">
      <w:r>
        <w:separator/>
      </w:r>
    </w:p>
  </w:footnote>
  <w:footnote w:type="continuationSeparator" w:id="0">
    <w:p w:rsidR="004E3A96" w:rsidRDefault="004E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F67" w:rsidRDefault="00281F67">
    <w:pPr>
      <w:pStyle w:val="Header"/>
    </w:pPr>
    <w:r>
      <w:t>NANC – LNPA Working Group</w:t>
    </w:r>
    <w:r>
      <w:tab/>
      <w:t xml:space="preserve">                     </w:t>
    </w:r>
    <w:r>
      <w:tab/>
      <w:t>Problem/Issue Identification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E"/>
    <w:rsid w:val="00014278"/>
    <w:rsid w:val="000161BF"/>
    <w:rsid w:val="000628C3"/>
    <w:rsid w:val="00066FB5"/>
    <w:rsid w:val="000870ED"/>
    <w:rsid w:val="0009434D"/>
    <w:rsid w:val="000C16CD"/>
    <w:rsid w:val="000C58C0"/>
    <w:rsid w:val="000D5975"/>
    <w:rsid w:val="00131143"/>
    <w:rsid w:val="00145BB3"/>
    <w:rsid w:val="00151109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04DF"/>
    <w:rsid w:val="0022720C"/>
    <w:rsid w:val="0025574E"/>
    <w:rsid w:val="00257EF2"/>
    <w:rsid w:val="00280E29"/>
    <w:rsid w:val="00281F67"/>
    <w:rsid w:val="002A0376"/>
    <w:rsid w:val="002A4C42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4928"/>
    <w:rsid w:val="003D5498"/>
    <w:rsid w:val="003E2319"/>
    <w:rsid w:val="003F7544"/>
    <w:rsid w:val="004116B9"/>
    <w:rsid w:val="00412A3B"/>
    <w:rsid w:val="00415B72"/>
    <w:rsid w:val="00417A65"/>
    <w:rsid w:val="00437CC9"/>
    <w:rsid w:val="00437DB6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3C35"/>
    <w:rsid w:val="004B4809"/>
    <w:rsid w:val="004C30C6"/>
    <w:rsid w:val="004C4A7F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11C4"/>
    <w:rsid w:val="00551757"/>
    <w:rsid w:val="00565B84"/>
    <w:rsid w:val="00582722"/>
    <w:rsid w:val="00595F3A"/>
    <w:rsid w:val="005A61A9"/>
    <w:rsid w:val="005B655C"/>
    <w:rsid w:val="005E0106"/>
    <w:rsid w:val="00600CDD"/>
    <w:rsid w:val="006138FF"/>
    <w:rsid w:val="00640982"/>
    <w:rsid w:val="00641B71"/>
    <w:rsid w:val="00675A29"/>
    <w:rsid w:val="00682CB4"/>
    <w:rsid w:val="00683644"/>
    <w:rsid w:val="006B52D5"/>
    <w:rsid w:val="006B6D23"/>
    <w:rsid w:val="006D6A82"/>
    <w:rsid w:val="006E54DE"/>
    <w:rsid w:val="00711774"/>
    <w:rsid w:val="007150F7"/>
    <w:rsid w:val="007203B0"/>
    <w:rsid w:val="00721650"/>
    <w:rsid w:val="00724C3A"/>
    <w:rsid w:val="00725E0A"/>
    <w:rsid w:val="00746ED5"/>
    <w:rsid w:val="007559E6"/>
    <w:rsid w:val="00765938"/>
    <w:rsid w:val="0077467C"/>
    <w:rsid w:val="0078713F"/>
    <w:rsid w:val="00796AA5"/>
    <w:rsid w:val="007A6F81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51BE3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19A0"/>
    <w:rsid w:val="00935380"/>
    <w:rsid w:val="00937D3A"/>
    <w:rsid w:val="00962CA6"/>
    <w:rsid w:val="0097484E"/>
    <w:rsid w:val="009821DE"/>
    <w:rsid w:val="0099315E"/>
    <w:rsid w:val="009A3FDA"/>
    <w:rsid w:val="009A6576"/>
    <w:rsid w:val="009A6F2A"/>
    <w:rsid w:val="009B3B8A"/>
    <w:rsid w:val="009C3970"/>
    <w:rsid w:val="009E1F41"/>
    <w:rsid w:val="009F1E2D"/>
    <w:rsid w:val="00A0217C"/>
    <w:rsid w:val="00A04B52"/>
    <w:rsid w:val="00A1613B"/>
    <w:rsid w:val="00A31915"/>
    <w:rsid w:val="00A367DE"/>
    <w:rsid w:val="00A654CC"/>
    <w:rsid w:val="00A80521"/>
    <w:rsid w:val="00A92628"/>
    <w:rsid w:val="00A92A53"/>
    <w:rsid w:val="00AB4F4D"/>
    <w:rsid w:val="00AB7D35"/>
    <w:rsid w:val="00AC727C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616D9"/>
    <w:rsid w:val="00B7537D"/>
    <w:rsid w:val="00B84B11"/>
    <w:rsid w:val="00BD0B37"/>
    <w:rsid w:val="00BD4651"/>
    <w:rsid w:val="00C030C3"/>
    <w:rsid w:val="00C12BFE"/>
    <w:rsid w:val="00C141A7"/>
    <w:rsid w:val="00C20F56"/>
    <w:rsid w:val="00C340DC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41312"/>
    <w:rsid w:val="00D41C7B"/>
    <w:rsid w:val="00D4478F"/>
    <w:rsid w:val="00D5102B"/>
    <w:rsid w:val="00D5179D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022D3"/>
    <w:rsid w:val="00E565EA"/>
    <w:rsid w:val="00E80D4E"/>
    <w:rsid w:val="00E91435"/>
    <w:rsid w:val="00ED1CD2"/>
    <w:rsid w:val="00ED3DEE"/>
    <w:rsid w:val="00ED6303"/>
    <w:rsid w:val="00F02BA7"/>
    <w:rsid w:val="00F17DA1"/>
    <w:rsid w:val="00F17FA1"/>
    <w:rsid w:val="00F317A2"/>
    <w:rsid w:val="00F5197E"/>
    <w:rsid w:val="00F60481"/>
    <w:rsid w:val="00F62328"/>
    <w:rsid w:val="00F65283"/>
    <w:rsid w:val="00FA5CD9"/>
    <w:rsid w:val="00FB35C6"/>
    <w:rsid w:val="00FB4388"/>
    <w:rsid w:val="00FC0889"/>
    <w:rsid w:val="00FC19CA"/>
    <w:rsid w:val="00FD4720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4D1EC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8</cp:revision>
  <cp:lastPrinted>1999-05-19T19:58:00Z</cp:lastPrinted>
  <dcterms:created xsi:type="dcterms:W3CDTF">2020-11-20T16:53:00Z</dcterms:created>
  <dcterms:modified xsi:type="dcterms:W3CDTF">2020-12-09T19:31:00Z</dcterms:modified>
</cp:coreProperties>
</file>