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FD1" w:rsidRDefault="006D2677">
      <w:pPr>
        <w:pStyle w:val="Title"/>
        <w:shd w:val="clear" w:color="auto" w:fill="C0C0C0"/>
      </w:pPr>
      <w:bookmarkStart w:id="0" w:name="_GoBack"/>
      <w:bookmarkEnd w:id="0"/>
      <w:r>
        <w:t>LNP Problem/Issue Identification and Description Form</w:t>
      </w:r>
    </w:p>
    <w:p w:rsidR="00A52FD1" w:rsidRDefault="00A52FD1">
      <w:pPr>
        <w:rPr>
          <w:sz w:val="24"/>
        </w:rPr>
      </w:pPr>
    </w:p>
    <w:p w:rsidR="00A52FD1" w:rsidRDefault="00A52FD1">
      <w:pPr>
        <w:rPr>
          <w:sz w:val="24"/>
        </w:rPr>
      </w:pPr>
    </w:p>
    <w:p w:rsidR="00A52FD1" w:rsidRDefault="006D2677">
      <w:pPr>
        <w:pBdr>
          <w:top w:val="single" w:sz="4" w:space="1" w:color="auto"/>
          <w:left w:val="single" w:sz="4" w:space="4" w:color="auto"/>
          <w:bottom w:val="single" w:sz="4" w:space="1" w:color="auto"/>
          <w:right w:val="single" w:sz="4" w:space="4" w:color="auto"/>
        </w:pBdr>
        <w:rPr>
          <w:rFonts w:ascii="Arial" w:hAnsi="Arial"/>
          <w:b/>
          <w:sz w:val="22"/>
        </w:rPr>
      </w:pPr>
      <w:r>
        <w:rPr>
          <w:rFonts w:ascii="Arial" w:hAnsi="Arial"/>
          <w:b/>
          <w:sz w:val="22"/>
        </w:rPr>
        <w:t>Submittal Date</w:t>
      </w:r>
      <w:r>
        <w:rPr>
          <w:rFonts w:ascii="Arial" w:hAnsi="Arial"/>
          <w:sz w:val="22"/>
        </w:rPr>
        <w:t xml:space="preserve"> (mm/</w:t>
      </w:r>
      <w:proofErr w:type="spellStart"/>
      <w:r>
        <w:rPr>
          <w:rFonts w:ascii="Arial" w:hAnsi="Arial"/>
          <w:sz w:val="22"/>
        </w:rPr>
        <w:t>dd</w:t>
      </w:r>
      <w:proofErr w:type="spellEnd"/>
      <w:r>
        <w:rPr>
          <w:rFonts w:ascii="Arial" w:hAnsi="Arial"/>
          <w:sz w:val="22"/>
        </w:rPr>
        <w:t>/</w:t>
      </w:r>
      <w:proofErr w:type="spellStart"/>
      <w:r>
        <w:rPr>
          <w:rFonts w:ascii="Arial" w:hAnsi="Arial"/>
          <w:sz w:val="22"/>
        </w:rPr>
        <w:t>yyyy</w:t>
      </w:r>
      <w:proofErr w:type="spellEnd"/>
      <w:r>
        <w:rPr>
          <w:rFonts w:ascii="Arial" w:hAnsi="Arial"/>
          <w:sz w:val="22"/>
        </w:rPr>
        <w:t>):  01/20/04</w:t>
      </w:r>
      <w:r>
        <w:rPr>
          <w:rFonts w:ascii="Arial" w:hAnsi="Arial"/>
          <w:sz w:val="22"/>
        </w:rPr>
        <w:tab/>
      </w:r>
      <w:r>
        <w:rPr>
          <w:rFonts w:ascii="Arial" w:hAnsi="Arial"/>
          <w:sz w:val="22"/>
        </w:rPr>
        <w:tab/>
      </w:r>
      <w:r>
        <w:rPr>
          <w:rFonts w:ascii="Arial" w:hAnsi="Arial"/>
          <w:b/>
          <w:sz w:val="22"/>
        </w:rPr>
        <w:t>PIM # 0029 v</w:t>
      </w:r>
      <w:r w:rsidR="00EA3AC5">
        <w:rPr>
          <w:rFonts w:ascii="Arial" w:hAnsi="Arial"/>
          <w:b/>
          <w:sz w:val="22"/>
        </w:rPr>
        <w:t>3</w:t>
      </w:r>
    </w:p>
    <w:p w:rsidR="00A52FD1" w:rsidRDefault="006D2677">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b/>
          <w:sz w:val="22"/>
        </w:rPr>
        <w:t>Company(s) Submitting Issue</w:t>
      </w:r>
      <w:r>
        <w:rPr>
          <w:rFonts w:ascii="Arial" w:hAnsi="Arial"/>
          <w:sz w:val="22"/>
        </w:rPr>
        <w:t xml:space="preserve">:  Sprint </w:t>
      </w:r>
    </w:p>
    <w:p w:rsidR="00A52FD1" w:rsidRDefault="006D2677">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b/>
          <w:sz w:val="22"/>
        </w:rPr>
        <w:t xml:space="preserve">Contact(s):    </w:t>
      </w:r>
      <w:proofErr w:type="gramStart"/>
      <w:r>
        <w:rPr>
          <w:rFonts w:ascii="Arial" w:hAnsi="Arial"/>
          <w:b/>
          <w:sz w:val="22"/>
        </w:rPr>
        <w:t>Name</w:t>
      </w:r>
      <w:r>
        <w:rPr>
          <w:rFonts w:ascii="Arial" w:hAnsi="Arial"/>
          <w:sz w:val="22"/>
        </w:rPr>
        <w:t xml:space="preserve">  Rick</w:t>
      </w:r>
      <w:proofErr w:type="gramEnd"/>
      <w:r>
        <w:rPr>
          <w:rFonts w:ascii="Arial" w:hAnsi="Arial"/>
          <w:sz w:val="22"/>
        </w:rPr>
        <w:t xml:space="preserve"> </w:t>
      </w:r>
      <w:proofErr w:type="spellStart"/>
      <w:r>
        <w:rPr>
          <w:rFonts w:ascii="Arial" w:hAnsi="Arial"/>
          <w:sz w:val="22"/>
        </w:rPr>
        <w:t>Dressner</w:t>
      </w:r>
      <w:proofErr w:type="spellEnd"/>
    </w:p>
    <w:p w:rsidR="00A52FD1" w:rsidRDefault="006D2677">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sz w:val="22"/>
        </w:rPr>
        <w:tab/>
        <w:t xml:space="preserve">         </w:t>
      </w:r>
      <w:r>
        <w:rPr>
          <w:rFonts w:ascii="Arial" w:hAnsi="Arial"/>
          <w:b/>
          <w:sz w:val="22"/>
        </w:rPr>
        <w:t>Contact Number</w:t>
      </w:r>
      <w:r>
        <w:rPr>
          <w:rFonts w:ascii="Arial" w:hAnsi="Arial"/>
          <w:sz w:val="22"/>
        </w:rPr>
        <w:t xml:space="preserve">   913-859-3772 / 954-401-5454</w:t>
      </w:r>
    </w:p>
    <w:p w:rsidR="00A52FD1" w:rsidRDefault="006D2677">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sz w:val="22"/>
        </w:rPr>
        <w:tab/>
        <w:t xml:space="preserve">         </w:t>
      </w:r>
      <w:r>
        <w:rPr>
          <w:rFonts w:ascii="Arial" w:hAnsi="Arial"/>
          <w:b/>
          <w:sz w:val="22"/>
        </w:rPr>
        <w:t>Email Address</w:t>
      </w:r>
      <w:r>
        <w:rPr>
          <w:rFonts w:ascii="Arial" w:hAnsi="Arial"/>
          <w:sz w:val="22"/>
        </w:rPr>
        <w:t xml:space="preserve">   rdress01@sprintspectrum.com</w:t>
      </w:r>
    </w:p>
    <w:p w:rsidR="00A52FD1" w:rsidRDefault="006D2677">
      <w:pPr>
        <w:pBdr>
          <w:top w:val="single" w:sz="4" w:space="1" w:color="auto"/>
          <w:left w:val="single" w:sz="4" w:space="4" w:color="auto"/>
          <w:bottom w:val="single" w:sz="4" w:space="1" w:color="auto"/>
          <w:right w:val="single" w:sz="4" w:space="4" w:color="auto"/>
        </w:pBdr>
        <w:rPr>
          <w:rFonts w:ascii="Arial" w:hAnsi="Arial"/>
          <w:b/>
          <w:sz w:val="16"/>
        </w:rPr>
      </w:pPr>
      <w:r>
        <w:rPr>
          <w:rFonts w:ascii="Arial" w:hAnsi="Arial"/>
          <w:b/>
          <w:sz w:val="16"/>
        </w:rPr>
        <w:t>(NOTE: Submitting Company(s) is to complete this section of the form along with Sections 1, 2 and 3.)</w:t>
      </w:r>
    </w:p>
    <w:p w:rsidR="00A52FD1" w:rsidRDefault="00A52FD1">
      <w:pPr>
        <w:rPr>
          <w:rFonts w:ascii="Arial" w:hAnsi="Arial"/>
          <w:sz w:val="22"/>
          <w:u w:val="single"/>
        </w:rPr>
      </w:pPr>
    </w:p>
    <w:p w:rsidR="00A52FD1" w:rsidRDefault="006D2677">
      <w:pPr>
        <w:numPr>
          <w:ilvl w:val="0"/>
          <w:numId w:val="3"/>
        </w:numPr>
        <w:rPr>
          <w:rFonts w:ascii="Arial" w:hAnsi="Arial"/>
          <w:sz w:val="22"/>
        </w:rPr>
      </w:pPr>
      <w:r>
        <w:rPr>
          <w:rFonts w:ascii="Arial" w:hAnsi="Arial"/>
          <w:b/>
          <w:sz w:val="22"/>
        </w:rPr>
        <w:t>Problem/Issue Statement:</w:t>
      </w:r>
      <w:r>
        <w:rPr>
          <w:rFonts w:ascii="Arial" w:hAnsi="Arial"/>
          <w:sz w:val="22"/>
        </w:rPr>
        <w:t xml:space="preserve"> (Brief statement outlining the problem/issue.)</w:t>
      </w:r>
    </w:p>
    <w:p w:rsidR="00A52FD1" w:rsidRDefault="00A52FD1">
      <w:pPr>
        <w:pStyle w:val="BodyText"/>
        <w:pBdr>
          <w:top w:val="none" w:sz="0" w:space="0" w:color="auto"/>
          <w:left w:val="none" w:sz="0" w:space="0" w:color="auto"/>
          <w:bottom w:val="none" w:sz="0" w:space="0" w:color="auto"/>
          <w:right w:val="none" w:sz="0" w:space="0" w:color="auto"/>
        </w:pBdr>
        <w:rPr>
          <w:rFonts w:ascii="Arial" w:hAnsi="Arial"/>
          <w:sz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6"/>
      </w:tblGrid>
      <w:tr w:rsidR="00A52FD1">
        <w:tc>
          <w:tcPr>
            <w:tcW w:w="8856" w:type="dxa"/>
          </w:tcPr>
          <w:p w:rsidR="00A52FD1" w:rsidRDefault="006D2677">
            <w:pPr>
              <w:ind w:left="360" w:hanging="360"/>
              <w:rPr>
                <w:rFonts w:ascii="Arial" w:hAnsi="Arial"/>
                <w:sz w:val="22"/>
              </w:rPr>
            </w:pPr>
            <w:r>
              <w:rPr>
                <w:rFonts w:ascii="Arial" w:hAnsi="Arial"/>
                <w:sz w:val="22"/>
              </w:rPr>
              <w:t xml:space="preserve">      Due to inconsistent inter-modal processes some customers are experiencing loss of service between disconnects and activations.</w:t>
            </w:r>
          </w:p>
        </w:tc>
      </w:tr>
    </w:tbl>
    <w:p w:rsidR="00A52FD1" w:rsidRDefault="006D2677">
      <w:pPr>
        <w:pStyle w:val="BodyText"/>
        <w:numPr>
          <w:ilvl w:val="0"/>
          <w:numId w:val="2"/>
        </w:numPr>
        <w:pBdr>
          <w:top w:val="none" w:sz="0" w:space="0" w:color="auto"/>
          <w:left w:val="none" w:sz="0" w:space="0" w:color="auto"/>
          <w:bottom w:val="none" w:sz="0" w:space="0" w:color="auto"/>
          <w:right w:val="none" w:sz="0" w:space="0" w:color="auto"/>
        </w:pBdr>
        <w:rPr>
          <w:rFonts w:ascii="Arial" w:hAnsi="Arial"/>
          <w:sz w:val="22"/>
          <w:u w:val="none"/>
        </w:rPr>
      </w:pPr>
      <w:r>
        <w:rPr>
          <w:rFonts w:ascii="Arial" w:hAnsi="Arial"/>
          <w:b/>
          <w:sz w:val="22"/>
          <w:u w:val="none"/>
        </w:rPr>
        <w:t>Problem/Issue Description:</w:t>
      </w:r>
      <w:r>
        <w:rPr>
          <w:rFonts w:ascii="Arial" w:hAnsi="Arial"/>
          <w:sz w:val="22"/>
          <w:u w:val="none"/>
        </w:rPr>
        <w:t xml:space="preserve"> (Provide detailed description of problem/issue.)</w:t>
      </w:r>
    </w:p>
    <w:p w:rsidR="00A52FD1" w:rsidRDefault="00A52FD1">
      <w:pPr>
        <w:pStyle w:val="BodyText"/>
        <w:pBdr>
          <w:top w:val="none" w:sz="0" w:space="0" w:color="auto"/>
          <w:left w:val="none" w:sz="0" w:space="0" w:color="auto"/>
          <w:bottom w:val="none" w:sz="0" w:space="0" w:color="auto"/>
          <w:right w:val="none" w:sz="0" w:space="0" w:color="auto"/>
        </w:pBdr>
        <w:rPr>
          <w:rFonts w:ascii="Arial" w:hAnsi="Arial"/>
          <w:sz w:val="22"/>
          <w:u w:val="none"/>
        </w:rPr>
      </w:pPr>
    </w:p>
    <w:p w:rsidR="00A52FD1" w:rsidRDefault="006D2677">
      <w:pPr>
        <w:pStyle w:val="BodyText2"/>
        <w:numPr>
          <w:ilvl w:val="0"/>
          <w:numId w:val="4"/>
        </w:numPr>
        <w:tabs>
          <w:tab w:val="clear" w:pos="360"/>
          <w:tab w:val="num" w:pos="-90"/>
        </w:tabs>
        <w:rPr>
          <w:rFonts w:ascii="Arial" w:hAnsi="Arial"/>
          <w:sz w:val="22"/>
        </w:rPr>
      </w:pPr>
      <w:r>
        <w:rPr>
          <w:rFonts w:ascii="Arial" w:hAnsi="Arial"/>
          <w:b/>
          <w:sz w:val="22"/>
        </w:rPr>
        <w:t>Examples &amp; Impacts of Problem/Issue:</w:t>
      </w:r>
      <w:r>
        <w:rPr>
          <w:rFonts w:ascii="Arial" w:hAnsi="Arial"/>
          <w:sz w:val="22"/>
        </w:rPr>
        <w:t xml:space="preserve">  The wireless process flows are based on near real time processing due to the short porting interval.  As a result most wireless providers do not disconnect until a confirmation has been received from the NPAC that the new service provider has activated the port.  The Wireline practice is to disconnect based on a due date and a firm order confirmation from the new service provider.   </w:t>
      </w:r>
    </w:p>
    <w:p w:rsidR="00A52FD1" w:rsidRDefault="00A52FD1">
      <w:pPr>
        <w:rPr>
          <w:rFonts w:ascii="Arial" w:hAnsi="Arial"/>
          <w:sz w:val="22"/>
        </w:rPr>
      </w:pPr>
    </w:p>
    <w:p w:rsidR="00A52FD1" w:rsidRDefault="006D2677">
      <w:pPr>
        <w:pStyle w:val="BodyText2"/>
        <w:numPr>
          <w:ilvl w:val="0"/>
          <w:numId w:val="4"/>
        </w:numPr>
        <w:rPr>
          <w:rFonts w:ascii="Arial" w:hAnsi="Arial"/>
          <w:sz w:val="22"/>
        </w:rPr>
      </w:pPr>
      <w:r>
        <w:rPr>
          <w:rFonts w:ascii="Arial" w:hAnsi="Arial"/>
          <w:b/>
          <w:sz w:val="22"/>
        </w:rPr>
        <w:t>Frequency of Occurrence:</w:t>
      </w:r>
      <w:r>
        <w:rPr>
          <w:rFonts w:ascii="Arial" w:hAnsi="Arial"/>
          <w:sz w:val="22"/>
        </w:rPr>
        <w:t xml:space="preserve"> 3,000 customers have been identified by Sprint PCS since the deployment of wireless local number portability.</w:t>
      </w:r>
    </w:p>
    <w:p w:rsidR="00A52FD1" w:rsidRDefault="00A52FD1">
      <w:pPr>
        <w:pStyle w:val="BodyText2"/>
        <w:rPr>
          <w:rFonts w:ascii="Arial" w:hAnsi="Arial"/>
          <w:sz w:val="22"/>
        </w:rPr>
      </w:pPr>
    </w:p>
    <w:p w:rsidR="00A52FD1" w:rsidRDefault="00A52FD1">
      <w:pPr>
        <w:rPr>
          <w:rFonts w:ascii="Arial" w:hAnsi="Arial"/>
          <w:sz w:val="22"/>
        </w:rPr>
      </w:pPr>
    </w:p>
    <w:p w:rsidR="00A52FD1" w:rsidRDefault="00A52FD1">
      <w:pPr>
        <w:rPr>
          <w:rFonts w:ascii="Arial" w:hAnsi="Arial"/>
          <w:sz w:val="22"/>
        </w:rPr>
      </w:pPr>
    </w:p>
    <w:p w:rsidR="00A52FD1" w:rsidRDefault="006D2677">
      <w:pPr>
        <w:pStyle w:val="BodyText2"/>
        <w:numPr>
          <w:ilvl w:val="0"/>
          <w:numId w:val="1"/>
        </w:numPr>
        <w:rPr>
          <w:rFonts w:ascii="Arial" w:hAnsi="Arial"/>
          <w:sz w:val="22"/>
        </w:rPr>
      </w:pPr>
      <w:r>
        <w:rPr>
          <w:rFonts w:ascii="Arial" w:hAnsi="Arial"/>
          <w:b/>
          <w:sz w:val="22"/>
        </w:rPr>
        <w:t>NPAC Regions Impacted</w:t>
      </w:r>
      <w:r>
        <w:rPr>
          <w:rFonts w:ascii="Arial" w:hAnsi="Arial"/>
          <w:sz w:val="22"/>
        </w:rPr>
        <w:t>: All</w:t>
      </w:r>
    </w:p>
    <w:p w:rsidR="00A52FD1" w:rsidRDefault="00A52FD1">
      <w:pPr>
        <w:pStyle w:val="BodyText2"/>
        <w:rPr>
          <w:rFonts w:ascii="Arial" w:hAnsi="Arial"/>
          <w:sz w:val="22"/>
        </w:rPr>
      </w:pPr>
    </w:p>
    <w:p w:rsidR="00A52FD1" w:rsidRDefault="00A52FD1">
      <w:pPr>
        <w:pStyle w:val="BodyText2"/>
        <w:rPr>
          <w:rFonts w:ascii="Arial" w:hAnsi="Arial"/>
          <w:sz w:val="22"/>
        </w:rPr>
      </w:pPr>
    </w:p>
    <w:p w:rsidR="00A52FD1" w:rsidRDefault="00A52FD1">
      <w:pPr>
        <w:rPr>
          <w:rFonts w:ascii="Arial" w:hAnsi="Arial"/>
          <w:sz w:val="22"/>
        </w:rPr>
      </w:pPr>
    </w:p>
    <w:p w:rsidR="00A52FD1" w:rsidRDefault="006D2677">
      <w:pPr>
        <w:pStyle w:val="BodyText2"/>
        <w:numPr>
          <w:ilvl w:val="0"/>
          <w:numId w:val="1"/>
        </w:numPr>
        <w:rPr>
          <w:rFonts w:ascii="Arial" w:hAnsi="Arial"/>
          <w:sz w:val="22"/>
        </w:rPr>
      </w:pPr>
      <w:r>
        <w:rPr>
          <w:rFonts w:ascii="Arial" w:hAnsi="Arial"/>
          <w:b/>
          <w:sz w:val="22"/>
        </w:rPr>
        <w:t>Rationale why existing process is deficient:</w:t>
      </w:r>
      <w:r>
        <w:rPr>
          <w:rFonts w:ascii="Arial" w:hAnsi="Arial"/>
          <w:sz w:val="22"/>
        </w:rPr>
        <w:t xml:space="preserve"> Inter-modal porting processes were not clearly defined or developed by the industry prior to wireless local number portability implementation.</w:t>
      </w:r>
    </w:p>
    <w:p w:rsidR="00A52FD1" w:rsidRDefault="00A52FD1">
      <w:pPr>
        <w:pStyle w:val="BodyText2"/>
        <w:rPr>
          <w:rFonts w:ascii="Arial" w:hAnsi="Arial"/>
          <w:sz w:val="22"/>
        </w:rPr>
      </w:pPr>
    </w:p>
    <w:p w:rsidR="00A52FD1" w:rsidRDefault="00A52FD1">
      <w:pPr>
        <w:pStyle w:val="BodyText2"/>
        <w:rPr>
          <w:rFonts w:ascii="Arial" w:hAnsi="Arial"/>
          <w:sz w:val="22"/>
        </w:rPr>
      </w:pPr>
    </w:p>
    <w:p w:rsidR="00A52FD1" w:rsidRDefault="00A52FD1">
      <w:pPr>
        <w:rPr>
          <w:rFonts w:ascii="Arial" w:hAnsi="Arial"/>
          <w:sz w:val="22"/>
        </w:rPr>
      </w:pPr>
    </w:p>
    <w:p w:rsidR="00A52FD1" w:rsidRDefault="006D2677">
      <w:pPr>
        <w:pStyle w:val="BodyText2"/>
        <w:rPr>
          <w:rFonts w:ascii="Arial" w:hAnsi="Arial"/>
          <w:sz w:val="22"/>
        </w:rPr>
      </w:pPr>
      <w:r>
        <w:rPr>
          <w:rFonts w:ascii="Arial" w:hAnsi="Arial"/>
          <w:sz w:val="22"/>
        </w:rPr>
        <w:t xml:space="preserve">E.  </w:t>
      </w:r>
      <w:r>
        <w:rPr>
          <w:rFonts w:ascii="Arial" w:hAnsi="Arial"/>
          <w:b/>
          <w:sz w:val="22"/>
        </w:rPr>
        <w:t xml:space="preserve"> Identify action taken in other committees / forums:  </w:t>
      </w:r>
    </w:p>
    <w:p w:rsidR="00A52FD1" w:rsidRDefault="00A52FD1">
      <w:pPr>
        <w:pStyle w:val="BodyText2"/>
        <w:rPr>
          <w:rFonts w:ascii="Arial" w:hAnsi="Arial"/>
          <w:sz w:val="22"/>
        </w:rPr>
      </w:pPr>
    </w:p>
    <w:p w:rsidR="00A52FD1" w:rsidRDefault="00A52FD1">
      <w:pPr>
        <w:rPr>
          <w:rFonts w:ascii="Arial" w:hAnsi="Arial"/>
          <w:sz w:val="22"/>
        </w:rPr>
      </w:pPr>
    </w:p>
    <w:p w:rsidR="00A52FD1" w:rsidRDefault="006D2677">
      <w:pPr>
        <w:pStyle w:val="BodyText2"/>
        <w:rPr>
          <w:rFonts w:ascii="Arial" w:hAnsi="Arial"/>
          <w:sz w:val="22"/>
        </w:rPr>
      </w:pPr>
      <w:r>
        <w:rPr>
          <w:rFonts w:ascii="Arial" w:hAnsi="Arial"/>
          <w:sz w:val="22"/>
        </w:rPr>
        <w:t xml:space="preserve">F    </w:t>
      </w:r>
      <w:r>
        <w:rPr>
          <w:rFonts w:ascii="Arial" w:hAnsi="Arial"/>
          <w:b/>
          <w:sz w:val="22"/>
        </w:rPr>
        <w:t>Any other descriptive items:</w:t>
      </w:r>
      <w:r>
        <w:rPr>
          <w:rFonts w:ascii="Arial" w:hAnsi="Arial"/>
          <w:sz w:val="22"/>
        </w:rPr>
        <w:t xml:space="preserve"> </w:t>
      </w:r>
    </w:p>
    <w:p w:rsidR="00A52FD1" w:rsidRDefault="00A52FD1">
      <w:pPr>
        <w:pStyle w:val="BodyText2"/>
        <w:rPr>
          <w:rFonts w:ascii="Arial" w:hAnsi="Arial"/>
          <w:sz w:val="22"/>
        </w:rPr>
      </w:pPr>
    </w:p>
    <w:p w:rsidR="00A52FD1" w:rsidRDefault="00A52FD1">
      <w:pPr>
        <w:rPr>
          <w:rFonts w:ascii="Arial" w:hAnsi="Arial"/>
          <w:sz w:val="22"/>
        </w:rPr>
      </w:pPr>
    </w:p>
    <w:p w:rsidR="00A52FD1" w:rsidRDefault="006D2677">
      <w:pPr>
        <w:numPr>
          <w:ilvl w:val="0"/>
          <w:numId w:val="2"/>
        </w:numPr>
        <w:rPr>
          <w:rFonts w:ascii="Arial" w:hAnsi="Arial"/>
          <w:sz w:val="22"/>
        </w:rPr>
      </w:pPr>
      <w:r>
        <w:rPr>
          <w:rFonts w:ascii="Arial" w:hAnsi="Arial"/>
          <w:b/>
          <w:sz w:val="22"/>
        </w:rPr>
        <w:t>Suggested Resolution:</w:t>
      </w:r>
      <w:r>
        <w:rPr>
          <w:rFonts w:ascii="Arial" w:hAnsi="Arial"/>
          <w:sz w:val="22"/>
        </w:rPr>
        <w:t xml:space="preserve"> </w:t>
      </w:r>
    </w:p>
    <w:p w:rsidR="00A52FD1" w:rsidRDefault="00A52FD1">
      <w:pPr>
        <w:rPr>
          <w:rFonts w:ascii="Arial" w:hAnsi="Arial"/>
          <w:sz w:val="22"/>
        </w:rPr>
      </w:pPr>
    </w:p>
    <w:p w:rsidR="00A52FD1" w:rsidRDefault="006D2677">
      <w:pPr>
        <w:pStyle w:val="BodyText3"/>
        <w:rPr>
          <w:rFonts w:ascii="Arial" w:hAnsi="Arial"/>
          <w:sz w:val="22"/>
        </w:rPr>
      </w:pPr>
      <w:r>
        <w:rPr>
          <w:rFonts w:ascii="Arial" w:hAnsi="Arial"/>
          <w:sz w:val="22"/>
        </w:rPr>
        <w:t xml:space="preserve">Define requirements that could be utilized by wireline and wireless carriers for inter-modal porting. </w:t>
      </w:r>
    </w:p>
    <w:p w:rsidR="00A52FD1" w:rsidRDefault="006D2677">
      <w:pPr>
        <w:pStyle w:val="BodyText3"/>
        <w:rPr>
          <w:rFonts w:ascii="Arial" w:hAnsi="Arial"/>
          <w:sz w:val="22"/>
        </w:rPr>
      </w:pPr>
      <w:r>
        <w:rPr>
          <w:rFonts w:ascii="Arial" w:hAnsi="Arial"/>
          <w:sz w:val="22"/>
        </w:rPr>
        <w:lastRenderedPageBreak/>
        <w:t xml:space="preserve">Develop procedures for the OSP to </w:t>
      </w:r>
      <w:proofErr w:type="gramStart"/>
      <w:r>
        <w:rPr>
          <w:rFonts w:ascii="Arial" w:hAnsi="Arial"/>
          <w:sz w:val="22"/>
        </w:rPr>
        <w:t>disconnect  once</w:t>
      </w:r>
      <w:proofErr w:type="gramEnd"/>
      <w:r>
        <w:rPr>
          <w:rFonts w:ascii="Arial" w:hAnsi="Arial"/>
          <w:sz w:val="22"/>
        </w:rPr>
        <w:t xml:space="preserve"> the NSP has activated.  Consideration for NPAC SOA and/or LSMS notification as triggers.   </w:t>
      </w:r>
    </w:p>
    <w:p w:rsidR="004B7039" w:rsidRPr="004B7039" w:rsidRDefault="004B7039" w:rsidP="004B7039">
      <w:pPr>
        <w:pStyle w:val="ListParagraph"/>
        <w:ind w:left="360" w:firstLine="0"/>
      </w:pPr>
    </w:p>
    <w:p w:rsidR="004B7039" w:rsidRPr="00EE728F" w:rsidRDefault="004B7039" w:rsidP="004B7039">
      <w:pPr>
        <w:pStyle w:val="ListParagraph"/>
        <w:numPr>
          <w:ilvl w:val="0"/>
          <w:numId w:val="2"/>
        </w:numPr>
      </w:pPr>
      <w:r w:rsidRPr="009469C7">
        <w:rPr>
          <w:b/>
        </w:rPr>
        <w:t>Final Resolution:</w:t>
      </w:r>
    </w:p>
    <w:p w:rsidR="004B7039" w:rsidRPr="00EE728F" w:rsidRDefault="004B7039" w:rsidP="004B7039">
      <w:pPr>
        <w:ind w:left="360"/>
      </w:pPr>
    </w:p>
    <w:p w:rsidR="004B7039" w:rsidRPr="00EE728F" w:rsidRDefault="004B7039" w:rsidP="004B7039">
      <w:pPr>
        <w:pBdr>
          <w:top w:val="single" w:sz="4" w:space="1" w:color="auto"/>
          <w:left w:val="single" w:sz="4" w:space="18" w:color="auto"/>
          <w:bottom w:val="single" w:sz="4" w:space="1" w:color="auto"/>
          <w:right w:val="single" w:sz="4" w:space="4" w:color="auto"/>
          <w:bar w:val="single" w:sz="4" w:color="auto"/>
        </w:pBdr>
        <w:ind w:left="270"/>
      </w:pPr>
      <w:r w:rsidRPr="004B7039">
        <w:t xml:space="preserve">At the June meeting, it was stated that the acceptable timeframes for performing </w:t>
      </w:r>
      <w:proofErr w:type="gramStart"/>
      <w:r w:rsidRPr="004B7039">
        <w:t>the disconnect</w:t>
      </w:r>
      <w:proofErr w:type="gramEnd"/>
      <w:r w:rsidRPr="004B7039">
        <w:t xml:space="preserve"> is addressed in the NANC flows.  Sprint agreed to close PIM 29 in lieu of the workaround in place to address PIM 28, as well as the other open PIMs that address LSR/FOC</w:t>
      </w:r>
      <w:r>
        <w:t xml:space="preserve"> </w:t>
      </w:r>
    </w:p>
    <w:p w:rsidR="004B7039" w:rsidRDefault="004B7039" w:rsidP="004B7039">
      <w:pPr>
        <w:rPr>
          <w:sz w:val="24"/>
        </w:rPr>
      </w:pPr>
    </w:p>
    <w:p w:rsidR="004B7039" w:rsidRDefault="004B7039">
      <w:pPr>
        <w:rPr>
          <w:rFonts w:ascii="Arial" w:hAnsi="Arial"/>
          <w:sz w:val="22"/>
        </w:rPr>
      </w:pPr>
    </w:p>
    <w:p w:rsidR="00A52FD1" w:rsidRDefault="006D2677">
      <w:pPr>
        <w:pBdr>
          <w:top w:val="single" w:sz="4" w:space="1" w:color="auto"/>
          <w:left w:val="single" w:sz="4" w:space="4" w:color="auto"/>
          <w:bottom w:val="single" w:sz="4" w:space="1" w:color="auto"/>
          <w:right w:val="single" w:sz="4" w:space="4" w:color="auto"/>
        </w:pBdr>
        <w:shd w:val="pct10" w:color="000000" w:fill="FFFFFF"/>
        <w:rPr>
          <w:rFonts w:ascii="Arial" w:hAnsi="Arial"/>
          <w:sz w:val="22"/>
        </w:rPr>
      </w:pPr>
      <w:r>
        <w:rPr>
          <w:rFonts w:ascii="Arial" w:hAnsi="Arial"/>
          <w:b/>
          <w:sz w:val="22"/>
          <w:u w:val="single"/>
        </w:rPr>
        <w:t>LNPA WG:</w:t>
      </w:r>
      <w:r>
        <w:rPr>
          <w:rFonts w:ascii="Arial" w:hAnsi="Arial"/>
          <w:sz w:val="22"/>
        </w:rPr>
        <w:t xml:space="preserve"> (only)</w:t>
      </w:r>
      <w:r w:rsidR="004B7039">
        <w:rPr>
          <w:rFonts w:ascii="Arial" w:hAnsi="Arial"/>
          <w:sz w:val="22"/>
        </w:rPr>
        <w:tab/>
      </w:r>
      <w:r w:rsidR="004B7039">
        <w:rPr>
          <w:rFonts w:ascii="Arial" w:hAnsi="Arial"/>
          <w:sz w:val="22"/>
        </w:rPr>
        <w:tab/>
      </w:r>
      <w:r w:rsidR="004B7039">
        <w:rPr>
          <w:rFonts w:ascii="Arial" w:hAnsi="Arial"/>
          <w:sz w:val="22"/>
        </w:rPr>
        <w:tab/>
      </w:r>
      <w:r w:rsidR="004B7039">
        <w:rPr>
          <w:rFonts w:ascii="Arial" w:hAnsi="Arial"/>
          <w:sz w:val="22"/>
        </w:rPr>
        <w:tab/>
        <w:t>Final Resolution Date: 6/15/2004</w:t>
      </w:r>
    </w:p>
    <w:p w:rsidR="00A52FD1" w:rsidRDefault="006D2677">
      <w:pPr>
        <w:pBdr>
          <w:top w:val="single" w:sz="4" w:space="1" w:color="auto"/>
          <w:left w:val="single" w:sz="4" w:space="4" w:color="auto"/>
          <w:bottom w:val="single" w:sz="4" w:space="1" w:color="auto"/>
          <w:right w:val="single" w:sz="4" w:space="4" w:color="auto"/>
        </w:pBdr>
        <w:shd w:val="pct10" w:color="000000" w:fill="FFFFFF"/>
        <w:rPr>
          <w:rFonts w:ascii="Arial" w:hAnsi="Arial"/>
          <w:sz w:val="22"/>
        </w:rPr>
      </w:pPr>
      <w:r>
        <w:rPr>
          <w:rFonts w:ascii="Arial" w:hAnsi="Arial"/>
          <w:sz w:val="22"/>
        </w:rPr>
        <w:t>Item Number: 0029 v</w:t>
      </w:r>
      <w:r w:rsidR="004B7039">
        <w:rPr>
          <w:rFonts w:ascii="Arial" w:hAnsi="Arial"/>
          <w:sz w:val="22"/>
        </w:rPr>
        <w:t>3</w:t>
      </w:r>
      <w:r w:rsidR="004B7039">
        <w:rPr>
          <w:rFonts w:ascii="Arial" w:hAnsi="Arial"/>
          <w:sz w:val="22"/>
        </w:rPr>
        <w:tab/>
      </w:r>
      <w:r w:rsidR="004B7039">
        <w:rPr>
          <w:rFonts w:ascii="Arial" w:hAnsi="Arial"/>
          <w:sz w:val="22"/>
        </w:rPr>
        <w:tab/>
      </w:r>
      <w:r w:rsidR="004B7039">
        <w:rPr>
          <w:rFonts w:ascii="Arial" w:hAnsi="Arial"/>
          <w:sz w:val="22"/>
        </w:rPr>
        <w:tab/>
        <w:t>Related Documents:</w:t>
      </w:r>
      <w:r>
        <w:rPr>
          <w:rFonts w:ascii="Arial" w:hAnsi="Arial"/>
          <w:sz w:val="22"/>
        </w:rPr>
        <w:tab/>
      </w:r>
    </w:p>
    <w:p w:rsidR="00A52FD1" w:rsidRDefault="006D2677">
      <w:pPr>
        <w:pBdr>
          <w:top w:val="single" w:sz="4" w:space="1" w:color="auto"/>
          <w:left w:val="single" w:sz="4" w:space="4" w:color="auto"/>
          <w:bottom w:val="single" w:sz="4" w:space="1" w:color="auto"/>
          <w:right w:val="single" w:sz="4" w:space="4" w:color="auto"/>
        </w:pBdr>
        <w:shd w:val="pct10" w:color="000000" w:fill="FFFFFF"/>
        <w:rPr>
          <w:rFonts w:ascii="Arial" w:hAnsi="Arial"/>
          <w:sz w:val="22"/>
        </w:rPr>
      </w:pPr>
      <w:r>
        <w:rPr>
          <w:rFonts w:ascii="Arial" w:hAnsi="Arial"/>
          <w:sz w:val="22"/>
        </w:rPr>
        <w:t>Issue Resolution Referred to: _________________________________________________________</w:t>
      </w:r>
    </w:p>
    <w:p w:rsidR="00A52FD1" w:rsidRDefault="006D2677">
      <w:pPr>
        <w:pBdr>
          <w:top w:val="single" w:sz="4" w:space="1" w:color="auto"/>
          <w:left w:val="single" w:sz="4" w:space="4" w:color="auto"/>
          <w:bottom w:val="single" w:sz="4" w:space="1" w:color="auto"/>
          <w:right w:val="single" w:sz="4" w:space="4" w:color="auto"/>
        </w:pBdr>
        <w:shd w:val="pct10" w:color="000000" w:fill="FFFFFF"/>
        <w:rPr>
          <w:rFonts w:ascii="Arial" w:hAnsi="Arial"/>
          <w:sz w:val="22"/>
        </w:rPr>
      </w:pPr>
      <w:r>
        <w:rPr>
          <w:rFonts w:ascii="Arial" w:hAnsi="Arial"/>
          <w:sz w:val="22"/>
        </w:rPr>
        <w:t>Why Issue Referred: __________________________________________________________________ ____________________________________________________________________________________________________________________________________________________________________________</w:t>
      </w:r>
    </w:p>
    <w:sectPr w:rsidR="00A52FD1">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FD1" w:rsidRDefault="006D2677">
      <w:r>
        <w:separator/>
      </w:r>
    </w:p>
  </w:endnote>
  <w:endnote w:type="continuationSeparator" w:id="0">
    <w:p w:rsidR="00A52FD1" w:rsidRDefault="006D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FD1" w:rsidRDefault="006D26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52FD1" w:rsidRDefault="00A52F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FD1" w:rsidRDefault="006D26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35BF">
      <w:rPr>
        <w:rStyle w:val="PageNumber"/>
        <w:noProof/>
      </w:rPr>
      <w:t>2</w:t>
    </w:r>
    <w:r>
      <w:rPr>
        <w:rStyle w:val="PageNumber"/>
      </w:rPr>
      <w:fldChar w:fldCharType="end"/>
    </w:r>
  </w:p>
  <w:p w:rsidR="00A52FD1" w:rsidRDefault="00A52F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FD1" w:rsidRDefault="006D2677">
      <w:r>
        <w:separator/>
      </w:r>
    </w:p>
  </w:footnote>
  <w:footnote w:type="continuationSeparator" w:id="0">
    <w:p w:rsidR="00A52FD1" w:rsidRDefault="006D2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FD1" w:rsidRDefault="006D2677">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56733E54"/>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70262B9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972"/>
    <w:rsid w:val="00421917"/>
    <w:rsid w:val="004B7039"/>
    <w:rsid w:val="005C0972"/>
    <w:rsid w:val="006D2677"/>
    <w:rsid w:val="00772681"/>
    <w:rsid w:val="007A35BF"/>
    <w:rsid w:val="00A52FD1"/>
    <w:rsid w:val="00EA3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AB4E72-C693-4D17-A2F0-55D8A1CC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1"/>
    <w:qFormat/>
    <w:rsid w:val="004B7039"/>
    <w:pPr>
      <w:widowControl w:val="0"/>
      <w:autoSpaceDE w:val="0"/>
      <w:autoSpaceDN w:val="0"/>
      <w:adjustRightInd w:val="0"/>
      <w:ind w:left="562" w:hanging="36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328</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dc:description/>
  <cp:lastModifiedBy>Doherty, Michael</cp:lastModifiedBy>
  <cp:revision>5</cp:revision>
  <cp:lastPrinted>2003-07-24T00:31:00Z</cp:lastPrinted>
  <dcterms:created xsi:type="dcterms:W3CDTF">2020-09-23T14:59:00Z</dcterms:created>
  <dcterms:modified xsi:type="dcterms:W3CDTF">2020-10-07T19:58:00Z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1050274057</vt:i4>
  </property>
  <property fmtid="{D5CDD505-2E9C-101B-9397-08002B2CF9AE}" pid="3" name="_EmailSubject">
    <vt:lpwstr>Revised PIM 29.</vt:lpwstr>
  </property>
  <property fmtid="{D5CDD505-2E9C-101B-9397-08002B2CF9AE}" pid="4" name="_AuthorEmail">
    <vt:lpwstr>rdress01@sprintspectrum.com</vt:lpwstr>
  </property>
  <property fmtid="{D5CDD505-2E9C-101B-9397-08002B2CF9AE}" pid="5" name="_AuthorEmailDisplayName">
    <vt:lpwstr>Dressner, Rick L [Non-Employee]</vt:lpwstr>
  </property>
  <property fmtid="{D5CDD505-2E9C-101B-9397-08002B2CF9AE}" pid="6" name="_NewReviewCycle">
    <vt:lpwstr/>
  </property>
  <property fmtid="{D5CDD505-2E9C-101B-9397-08002B2CF9AE}" pid="7" name="_PreviousAdHocReviewCycleID">
    <vt:i4>442322446</vt:i4>
  </property>
  <property fmtid="{D5CDD505-2E9C-101B-9397-08002B2CF9AE}" pid="8" name="_ReviewingToolsShownOnce">
    <vt:lpwstr/>
  </property>
</Properties>
</file>