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EF4" w:rsidRDefault="00597F8D">
      <w:pPr>
        <w:pStyle w:val="Title"/>
        <w:shd w:val="clear" w:color="auto" w:fill="C0C0C0"/>
      </w:pPr>
      <w:bookmarkStart w:id="0" w:name="_GoBack"/>
      <w:bookmarkEnd w:id="0"/>
      <w:r>
        <w:t>LNP Problem/Issue Identification and Description Form</w:t>
      </w:r>
    </w:p>
    <w:p w:rsidR="00021EF4" w:rsidRDefault="00021EF4">
      <w:pPr>
        <w:rPr>
          <w:sz w:val="24"/>
        </w:rPr>
      </w:pPr>
    </w:p>
    <w:p w:rsidR="00021EF4" w:rsidRDefault="00021EF4">
      <w:pPr>
        <w:rPr>
          <w:sz w:val="24"/>
        </w:rPr>
      </w:pPr>
    </w:p>
    <w:p w:rsidR="00021EF4" w:rsidRDefault="00597F8D">
      <w:pPr>
        <w:pBdr>
          <w:top w:val="single" w:sz="4" w:space="1" w:color="auto"/>
          <w:left w:val="single" w:sz="4" w:space="4" w:color="auto"/>
          <w:bottom w:val="single" w:sz="4" w:space="1" w:color="auto"/>
          <w:right w:val="single" w:sz="4" w:space="4" w:color="auto"/>
        </w:pBdr>
        <w:rPr>
          <w:sz w:val="24"/>
        </w:rPr>
      </w:pPr>
      <w:r>
        <w:rPr>
          <w:b/>
          <w:sz w:val="24"/>
        </w:rPr>
        <w:t>Submittal Date</w:t>
      </w:r>
      <w:r>
        <w:rPr>
          <w:sz w:val="24"/>
        </w:rPr>
        <w:t xml:space="preserve"> (mm/</w:t>
      </w:r>
      <w:proofErr w:type="spellStart"/>
      <w:r>
        <w:rPr>
          <w:sz w:val="24"/>
        </w:rPr>
        <w:t>dd</w:t>
      </w:r>
      <w:proofErr w:type="spellEnd"/>
      <w:r>
        <w:rPr>
          <w:sz w:val="24"/>
        </w:rPr>
        <w:t>/</w:t>
      </w:r>
      <w:proofErr w:type="spellStart"/>
      <w:r>
        <w:rPr>
          <w:sz w:val="24"/>
        </w:rPr>
        <w:t>yyyy</w:t>
      </w:r>
      <w:proofErr w:type="spellEnd"/>
      <w:r>
        <w:rPr>
          <w:sz w:val="24"/>
        </w:rPr>
        <w:t>):   05/26/2004</w:t>
      </w:r>
      <w:r w:rsidR="0053392D">
        <w:rPr>
          <w:sz w:val="24"/>
        </w:rPr>
        <w:tab/>
      </w:r>
      <w:r w:rsidR="0053392D">
        <w:rPr>
          <w:sz w:val="24"/>
        </w:rPr>
        <w:tab/>
      </w:r>
      <w:r w:rsidR="0053392D">
        <w:rPr>
          <w:sz w:val="24"/>
        </w:rPr>
        <w:tab/>
      </w:r>
      <w:r w:rsidR="0053392D" w:rsidRPr="0053392D">
        <w:rPr>
          <w:b/>
          <w:sz w:val="24"/>
        </w:rPr>
        <w:t>PIM 038 v2</w:t>
      </w:r>
    </w:p>
    <w:p w:rsidR="00021EF4" w:rsidRDefault="00597F8D">
      <w:pPr>
        <w:pBdr>
          <w:top w:val="single" w:sz="4" w:space="1" w:color="auto"/>
          <w:left w:val="single" w:sz="4" w:space="4" w:color="auto"/>
          <w:bottom w:val="single" w:sz="4" w:space="1" w:color="auto"/>
          <w:right w:val="single" w:sz="4" w:space="4" w:color="auto"/>
        </w:pBdr>
        <w:rPr>
          <w:sz w:val="24"/>
        </w:rPr>
      </w:pPr>
      <w:r>
        <w:rPr>
          <w:b/>
          <w:sz w:val="24"/>
        </w:rPr>
        <w:t>Company(s) Submitting Issue</w:t>
      </w:r>
      <w:r>
        <w:rPr>
          <w:sz w:val="24"/>
        </w:rPr>
        <w:t xml:space="preserve">: AT&amp;T Wireless </w:t>
      </w:r>
    </w:p>
    <w:p w:rsidR="00021EF4" w:rsidRDefault="00597F8D">
      <w:pPr>
        <w:pBdr>
          <w:top w:val="single" w:sz="4" w:space="1" w:color="auto"/>
          <w:left w:val="single" w:sz="4" w:space="4" w:color="auto"/>
          <w:bottom w:val="single" w:sz="4" w:space="1" w:color="auto"/>
          <w:right w:val="single" w:sz="4" w:space="4" w:color="auto"/>
        </w:pBdr>
        <w:rPr>
          <w:sz w:val="24"/>
          <w:u w:val="single"/>
        </w:rPr>
      </w:pPr>
      <w:r>
        <w:rPr>
          <w:b/>
          <w:sz w:val="24"/>
        </w:rPr>
        <w:t>Contact(s):  Name</w:t>
      </w:r>
      <w:r>
        <w:rPr>
          <w:sz w:val="24"/>
        </w:rPr>
        <w:t xml:space="preserve">:  </w:t>
      </w:r>
      <w:r>
        <w:rPr>
          <w:sz w:val="24"/>
          <w:u w:val="single"/>
        </w:rPr>
        <w:t>Stephen A. Sanchez</w:t>
      </w:r>
    </w:p>
    <w:p w:rsidR="00021EF4" w:rsidRDefault="00597F8D">
      <w:pPr>
        <w:pBdr>
          <w:top w:val="single" w:sz="4" w:space="1" w:color="auto"/>
          <w:left w:val="single" w:sz="4" w:space="4" w:color="auto"/>
          <w:bottom w:val="single" w:sz="4" w:space="1" w:color="auto"/>
          <w:right w:val="single" w:sz="4" w:space="4" w:color="auto"/>
        </w:pBdr>
        <w:rPr>
          <w:sz w:val="24"/>
        </w:rPr>
      </w:pPr>
      <w:r>
        <w:rPr>
          <w:sz w:val="24"/>
        </w:rPr>
        <w:tab/>
        <w:t xml:space="preserve">         </w:t>
      </w:r>
      <w:r>
        <w:rPr>
          <w:b/>
          <w:sz w:val="24"/>
        </w:rPr>
        <w:t>Contact Number</w:t>
      </w:r>
      <w:r>
        <w:rPr>
          <w:sz w:val="24"/>
        </w:rPr>
        <w:t xml:space="preserve"> 425/288/7051</w:t>
      </w:r>
    </w:p>
    <w:p w:rsidR="00021EF4" w:rsidRDefault="00597F8D">
      <w:pPr>
        <w:pBdr>
          <w:top w:val="single" w:sz="4" w:space="1" w:color="auto"/>
          <w:left w:val="single" w:sz="4" w:space="4" w:color="auto"/>
          <w:bottom w:val="single" w:sz="4" w:space="1" w:color="auto"/>
          <w:right w:val="single" w:sz="4" w:space="4" w:color="auto"/>
        </w:pBdr>
        <w:rPr>
          <w:sz w:val="24"/>
          <w:u w:val="single"/>
        </w:rPr>
      </w:pPr>
      <w:r>
        <w:rPr>
          <w:sz w:val="24"/>
        </w:rPr>
        <w:tab/>
        <w:t xml:space="preserve">         </w:t>
      </w:r>
      <w:r>
        <w:rPr>
          <w:b/>
          <w:sz w:val="24"/>
        </w:rPr>
        <w:t>Email Address</w:t>
      </w:r>
      <w:r>
        <w:rPr>
          <w:sz w:val="24"/>
        </w:rPr>
        <w:t xml:space="preserve">   </w:t>
      </w:r>
      <w:r>
        <w:rPr>
          <w:sz w:val="24"/>
          <w:u w:val="single"/>
        </w:rPr>
        <w:t>Stephen.sanchez@attws.com</w:t>
      </w:r>
    </w:p>
    <w:p w:rsidR="00021EF4" w:rsidRDefault="00597F8D">
      <w:pPr>
        <w:pBdr>
          <w:top w:val="single" w:sz="4" w:space="1" w:color="auto"/>
          <w:left w:val="single" w:sz="4" w:space="4" w:color="auto"/>
          <w:bottom w:val="single" w:sz="4" w:space="1" w:color="auto"/>
          <w:right w:val="single" w:sz="4" w:space="4" w:color="auto"/>
        </w:pBdr>
        <w:rPr>
          <w:b/>
          <w:sz w:val="16"/>
        </w:rPr>
      </w:pPr>
      <w:r>
        <w:rPr>
          <w:b/>
          <w:sz w:val="16"/>
        </w:rPr>
        <w:t>(NOTE: Submitting Company(s) is to complete this section of the form along with Sections 1, 2 and 3.)</w:t>
      </w:r>
    </w:p>
    <w:p w:rsidR="00021EF4" w:rsidRDefault="00021EF4">
      <w:pPr>
        <w:rPr>
          <w:sz w:val="24"/>
          <w:u w:val="single"/>
        </w:rPr>
      </w:pPr>
    </w:p>
    <w:p w:rsidR="00021EF4" w:rsidRDefault="00021EF4">
      <w:pPr>
        <w:rPr>
          <w:sz w:val="24"/>
          <w:u w:val="single"/>
        </w:rPr>
      </w:pPr>
    </w:p>
    <w:p w:rsidR="00021EF4" w:rsidRDefault="00597F8D">
      <w:pPr>
        <w:numPr>
          <w:ilvl w:val="0"/>
          <w:numId w:val="3"/>
        </w:numPr>
        <w:rPr>
          <w:sz w:val="16"/>
        </w:rPr>
      </w:pPr>
      <w:r>
        <w:rPr>
          <w:b/>
          <w:sz w:val="24"/>
        </w:rPr>
        <w:t>Problem/Issue Statement:</w:t>
      </w:r>
      <w:r>
        <w:rPr>
          <w:sz w:val="24"/>
        </w:rPr>
        <w:t xml:space="preserve"> </w:t>
      </w:r>
      <w:r>
        <w:rPr>
          <w:sz w:val="16"/>
        </w:rPr>
        <w:t>(Brief statement outlining the problem/issue.)</w:t>
      </w:r>
    </w:p>
    <w:p w:rsidR="00021EF4" w:rsidRDefault="00021EF4">
      <w:pPr>
        <w:rPr>
          <w:sz w:val="24"/>
        </w:rPr>
      </w:pPr>
    </w:p>
    <w:p w:rsidR="00021EF4" w:rsidRDefault="00597F8D">
      <w:pPr>
        <w:pStyle w:val="BodyText2"/>
        <w:rPr>
          <w:sz w:val="20"/>
          <w:u w:val="single"/>
        </w:rPr>
      </w:pPr>
      <w:r>
        <w:rPr>
          <w:sz w:val="20"/>
          <w:u w:val="single"/>
        </w:rPr>
        <w:t>The current –x object (1k Pool Block) tunable of 5 business days between the Create and Activate is too long and acts as a constraint against service providers.</w:t>
      </w:r>
    </w:p>
    <w:p w:rsidR="00021EF4" w:rsidRDefault="00597F8D">
      <w:pPr>
        <w:rPr>
          <w:sz w:val="24"/>
        </w:rPr>
      </w:pPr>
      <w:r>
        <w:rPr>
          <w:sz w:val="24"/>
        </w:rPr>
        <w:t xml:space="preserve"> </w:t>
      </w:r>
    </w:p>
    <w:p w:rsidR="00021EF4" w:rsidRDefault="00021EF4">
      <w:pPr>
        <w:rPr>
          <w:sz w:val="24"/>
        </w:rPr>
      </w:pPr>
    </w:p>
    <w:p w:rsidR="00021EF4" w:rsidRDefault="00597F8D">
      <w:pPr>
        <w:pStyle w:val="BodyText"/>
        <w:numPr>
          <w:ilvl w:val="0"/>
          <w:numId w:val="2"/>
        </w:numPr>
        <w:pBdr>
          <w:top w:val="none" w:sz="0" w:space="0" w:color="auto"/>
          <w:left w:val="none" w:sz="0" w:space="0" w:color="auto"/>
          <w:bottom w:val="none" w:sz="0" w:space="0" w:color="auto"/>
          <w:right w:val="none" w:sz="0" w:space="0" w:color="auto"/>
        </w:pBdr>
        <w:rPr>
          <w:sz w:val="16"/>
          <w:u w:val="none"/>
        </w:rPr>
      </w:pPr>
      <w:r>
        <w:rPr>
          <w:b/>
          <w:sz w:val="24"/>
          <w:u w:val="none"/>
        </w:rPr>
        <w:t>Problem/Issue Description:</w:t>
      </w:r>
      <w:r>
        <w:rPr>
          <w:sz w:val="24"/>
          <w:u w:val="none"/>
        </w:rPr>
        <w:t xml:space="preserve"> </w:t>
      </w:r>
      <w:r>
        <w:rPr>
          <w:sz w:val="16"/>
          <w:u w:val="none"/>
        </w:rPr>
        <w:t>(Provide detailed description of problem/issue.)</w:t>
      </w:r>
    </w:p>
    <w:p w:rsidR="00021EF4" w:rsidRDefault="00021EF4">
      <w:pPr>
        <w:pStyle w:val="BodyText"/>
        <w:pBdr>
          <w:top w:val="none" w:sz="0" w:space="0" w:color="auto"/>
          <w:left w:val="none" w:sz="0" w:space="0" w:color="auto"/>
          <w:bottom w:val="none" w:sz="0" w:space="0" w:color="auto"/>
          <w:right w:val="none" w:sz="0" w:space="0" w:color="auto"/>
        </w:pBdr>
        <w:rPr>
          <w:sz w:val="16"/>
          <w:u w:val="none"/>
        </w:rPr>
      </w:pPr>
    </w:p>
    <w:p w:rsidR="00021EF4" w:rsidRDefault="00597F8D">
      <w:pPr>
        <w:pStyle w:val="BodyText2"/>
        <w:rPr>
          <w:sz w:val="20"/>
        </w:rPr>
      </w:pPr>
      <w:r>
        <w:rPr>
          <w:sz w:val="20"/>
        </w:rPr>
        <w:t xml:space="preserve">A.   Examples &amp; Impacts of Problem/Issue: </w:t>
      </w:r>
    </w:p>
    <w:p w:rsidR="00021EF4" w:rsidRDefault="00597F8D">
      <w:pPr>
        <w:pStyle w:val="BodyText2"/>
        <w:rPr>
          <w:sz w:val="20"/>
          <w:u w:val="single"/>
        </w:rPr>
      </w:pPr>
      <w:r>
        <w:rPr>
          <w:sz w:val="20"/>
          <w:u w:val="single"/>
        </w:rPr>
        <w:t xml:space="preserve">Many service providers use the 1k pool block methodology (in addition to Number Pooling Activities) to accomplish Network Rehome, and Acquisition activities. Between the –x (pool block) object create date and the activate date there is a mandatory 5 business day tunable period.  During this time, service providers </w:t>
      </w:r>
      <w:proofErr w:type="spellStart"/>
      <w:r>
        <w:rPr>
          <w:sz w:val="20"/>
          <w:u w:val="single"/>
        </w:rPr>
        <w:t>can not</w:t>
      </w:r>
      <w:proofErr w:type="spellEnd"/>
      <w:r>
        <w:rPr>
          <w:sz w:val="20"/>
          <w:u w:val="single"/>
        </w:rPr>
        <w:t xml:space="preserve"> conduct SV activity until the –x object is activated at the NPAC.  Any activity will result in error transactions or “SOA NOT AUTHORIZED” 7502.</w:t>
      </w:r>
    </w:p>
    <w:p w:rsidR="00021EF4" w:rsidRDefault="00021EF4">
      <w:pPr>
        <w:pStyle w:val="BodyText2"/>
        <w:rPr>
          <w:sz w:val="20"/>
          <w:u w:val="single"/>
        </w:rPr>
      </w:pPr>
    </w:p>
    <w:p w:rsidR="00021EF4" w:rsidRDefault="00597F8D">
      <w:pPr>
        <w:pStyle w:val="BodyText2"/>
        <w:rPr>
          <w:sz w:val="20"/>
          <w:u w:val="single"/>
        </w:rPr>
      </w:pPr>
      <w:r>
        <w:rPr>
          <w:sz w:val="20"/>
          <w:u w:val="single"/>
        </w:rPr>
        <w:t xml:space="preserve">Conversely, there are times when a service provider is attempting to complete rehome activities and acquisition activities by using a –x object methodology.  If a </w:t>
      </w:r>
      <w:proofErr w:type="spellStart"/>
      <w:r>
        <w:rPr>
          <w:sz w:val="20"/>
          <w:u w:val="single"/>
        </w:rPr>
        <w:t>pendingSV</w:t>
      </w:r>
      <w:proofErr w:type="spellEnd"/>
      <w:r>
        <w:rPr>
          <w:sz w:val="20"/>
          <w:u w:val="single"/>
        </w:rPr>
        <w:t xml:space="preserve"> has been created against the NPA-NXX-X range, the pool block </w:t>
      </w:r>
      <w:proofErr w:type="spellStart"/>
      <w:r>
        <w:rPr>
          <w:sz w:val="20"/>
          <w:u w:val="single"/>
        </w:rPr>
        <w:t>can not</w:t>
      </w:r>
      <w:proofErr w:type="spellEnd"/>
      <w:r>
        <w:rPr>
          <w:sz w:val="20"/>
          <w:u w:val="single"/>
        </w:rPr>
        <w:t xml:space="preserve"> be created until that SV has been cleared.  There are times where </w:t>
      </w:r>
      <w:proofErr w:type="spellStart"/>
      <w:r>
        <w:rPr>
          <w:sz w:val="20"/>
          <w:u w:val="single"/>
        </w:rPr>
        <w:t>pendingSV</w:t>
      </w:r>
      <w:proofErr w:type="spellEnd"/>
      <w:r>
        <w:rPr>
          <w:sz w:val="20"/>
          <w:u w:val="single"/>
        </w:rPr>
        <w:t xml:space="preserve"> are constantly created against the NPA-NXX-X range.   The 5 business day tunable in conjunction with the porting activity causes timeline slides for the service providers trying to conduct activity in that NPA-NXX-X range.</w:t>
      </w:r>
    </w:p>
    <w:p w:rsidR="00021EF4" w:rsidRDefault="00021EF4">
      <w:pPr>
        <w:pStyle w:val="BodyText2"/>
        <w:rPr>
          <w:sz w:val="20"/>
        </w:rPr>
      </w:pPr>
    </w:p>
    <w:p w:rsidR="00021EF4" w:rsidRDefault="00021EF4">
      <w:pPr>
        <w:rPr>
          <w:sz w:val="24"/>
        </w:rPr>
      </w:pPr>
    </w:p>
    <w:p w:rsidR="00021EF4" w:rsidRDefault="00597F8D" w:rsidP="00146624">
      <w:pPr>
        <w:pStyle w:val="BodyText2"/>
        <w:numPr>
          <w:ilvl w:val="0"/>
          <w:numId w:val="4"/>
        </w:numPr>
        <w:pBdr>
          <w:left w:val="single" w:sz="4" w:space="22" w:color="auto"/>
        </w:pBdr>
        <w:rPr>
          <w:sz w:val="20"/>
        </w:rPr>
      </w:pPr>
      <w:r>
        <w:rPr>
          <w:sz w:val="20"/>
        </w:rPr>
        <w:t xml:space="preserve">Frequency of Occurrence: </w:t>
      </w:r>
    </w:p>
    <w:p w:rsidR="00021EF4" w:rsidRDefault="00597F8D" w:rsidP="00146624">
      <w:pPr>
        <w:pStyle w:val="BodyText2"/>
        <w:pBdr>
          <w:left w:val="single" w:sz="4" w:space="22" w:color="auto"/>
        </w:pBdr>
        <w:ind w:left="360"/>
        <w:rPr>
          <w:sz w:val="20"/>
          <w:u w:val="single"/>
        </w:rPr>
      </w:pPr>
      <w:r>
        <w:rPr>
          <w:sz w:val="20"/>
          <w:u w:val="single"/>
        </w:rPr>
        <w:t xml:space="preserve">Any time a –x object (pool block) has been created.  </w:t>
      </w:r>
    </w:p>
    <w:p w:rsidR="00021EF4" w:rsidRDefault="00021EF4" w:rsidP="00146624">
      <w:pPr>
        <w:pStyle w:val="BodyText2"/>
        <w:pBdr>
          <w:left w:val="single" w:sz="4" w:space="22" w:color="auto"/>
        </w:pBdr>
        <w:ind w:left="360"/>
        <w:rPr>
          <w:sz w:val="20"/>
          <w:u w:val="single"/>
        </w:rPr>
      </w:pPr>
    </w:p>
    <w:p w:rsidR="00021EF4" w:rsidRDefault="00597F8D" w:rsidP="00146624">
      <w:pPr>
        <w:pStyle w:val="BodyText2"/>
        <w:pBdr>
          <w:left w:val="single" w:sz="4" w:space="22" w:color="auto"/>
        </w:pBdr>
        <w:ind w:left="360"/>
        <w:rPr>
          <w:sz w:val="20"/>
          <w:u w:val="single"/>
        </w:rPr>
      </w:pPr>
      <w:r>
        <w:rPr>
          <w:sz w:val="20"/>
          <w:u w:val="single"/>
        </w:rPr>
        <w:t xml:space="preserve">With the introduction of National Number Portability, the frequency of occurrence will be higher.  And more service providers may use the –x object methodology to conduct network rehome and acquisitions. </w:t>
      </w:r>
      <w:r>
        <w:rPr>
          <w:sz w:val="20"/>
          <w:u w:val="single"/>
        </w:rPr>
        <w:sym w:font="Wingdings" w:char="F04A"/>
      </w:r>
      <w:r>
        <w:rPr>
          <w:sz w:val="20"/>
          <w:u w:val="single"/>
        </w:rPr>
        <w:t xml:space="preserve">   </w:t>
      </w:r>
    </w:p>
    <w:p w:rsidR="00021EF4" w:rsidRDefault="00021EF4">
      <w:pPr>
        <w:rPr>
          <w:sz w:val="24"/>
        </w:rPr>
      </w:pPr>
    </w:p>
    <w:p w:rsidR="00021EF4" w:rsidRDefault="00597F8D">
      <w:pPr>
        <w:pStyle w:val="BodyText2"/>
        <w:numPr>
          <w:ilvl w:val="0"/>
          <w:numId w:val="1"/>
        </w:numPr>
        <w:rPr>
          <w:sz w:val="20"/>
        </w:rPr>
      </w:pPr>
      <w:r>
        <w:rPr>
          <w:sz w:val="20"/>
        </w:rPr>
        <w:t>NPAC Regions Impacted:</w:t>
      </w:r>
    </w:p>
    <w:p w:rsidR="00021EF4" w:rsidRDefault="00597F8D">
      <w:pPr>
        <w:pStyle w:val="BodyText2"/>
        <w:rPr>
          <w:sz w:val="20"/>
        </w:rPr>
      </w:pPr>
      <w:r>
        <w:rPr>
          <w:sz w:val="20"/>
        </w:rPr>
        <w:t xml:space="preserve"> Canada__ Mid Atlantic </w:t>
      </w:r>
      <w:r>
        <w:rPr>
          <w:b/>
          <w:sz w:val="20"/>
          <w:u w:val="single"/>
        </w:rPr>
        <w:t>X</w:t>
      </w:r>
      <w:r>
        <w:rPr>
          <w:sz w:val="20"/>
        </w:rPr>
        <w:t xml:space="preserve">   Midwest </w:t>
      </w:r>
      <w:r>
        <w:rPr>
          <w:b/>
          <w:sz w:val="20"/>
          <w:u w:val="single"/>
        </w:rPr>
        <w:t xml:space="preserve">X </w:t>
      </w:r>
      <w:r>
        <w:rPr>
          <w:sz w:val="20"/>
        </w:rPr>
        <w:t xml:space="preserve">  Northeast </w:t>
      </w:r>
      <w:r>
        <w:rPr>
          <w:b/>
          <w:sz w:val="20"/>
          <w:u w:val="single"/>
        </w:rPr>
        <w:t>X</w:t>
      </w:r>
      <w:r>
        <w:rPr>
          <w:sz w:val="20"/>
        </w:rPr>
        <w:t xml:space="preserve"> Southeast </w:t>
      </w:r>
      <w:r>
        <w:rPr>
          <w:b/>
          <w:sz w:val="20"/>
          <w:u w:val="single"/>
        </w:rPr>
        <w:t xml:space="preserve">X </w:t>
      </w:r>
      <w:r>
        <w:rPr>
          <w:sz w:val="20"/>
        </w:rPr>
        <w:t xml:space="preserve">  Southwest </w:t>
      </w:r>
      <w:proofErr w:type="gramStart"/>
      <w:r>
        <w:rPr>
          <w:b/>
          <w:sz w:val="20"/>
          <w:u w:val="single"/>
        </w:rPr>
        <w:t xml:space="preserve">X </w:t>
      </w:r>
      <w:r>
        <w:rPr>
          <w:sz w:val="20"/>
        </w:rPr>
        <w:t xml:space="preserve"> Western</w:t>
      </w:r>
      <w:proofErr w:type="gramEnd"/>
      <w:r>
        <w:rPr>
          <w:sz w:val="20"/>
        </w:rPr>
        <w:t xml:space="preserve"> </w:t>
      </w:r>
      <w:r>
        <w:rPr>
          <w:b/>
          <w:sz w:val="20"/>
          <w:u w:val="single"/>
        </w:rPr>
        <w:t>X</w:t>
      </w:r>
      <w:r>
        <w:rPr>
          <w:sz w:val="20"/>
        </w:rPr>
        <w:t xml:space="preserve">     </w:t>
      </w:r>
    </w:p>
    <w:p w:rsidR="00021EF4" w:rsidRDefault="00597F8D">
      <w:pPr>
        <w:pStyle w:val="BodyText2"/>
        <w:rPr>
          <w:sz w:val="20"/>
        </w:rPr>
      </w:pPr>
      <w:r>
        <w:rPr>
          <w:sz w:val="20"/>
        </w:rPr>
        <w:t xml:space="preserve"> West Coast </w:t>
      </w:r>
      <w:r>
        <w:rPr>
          <w:b/>
          <w:sz w:val="20"/>
          <w:u w:val="single"/>
        </w:rPr>
        <w:t xml:space="preserve">X  </w:t>
      </w:r>
      <w:r>
        <w:rPr>
          <w:sz w:val="20"/>
        </w:rPr>
        <w:t xml:space="preserve">  ALL  </w:t>
      </w:r>
    </w:p>
    <w:p w:rsidR="00021EF4" w:rsidRDefault="00021EF4">
      <w:pPr>
        <w:rPr>
          <w:sz w:val="24"/>
        </w:rPr>
      </w:pPr>
    </w:p>
    <w:p w:rsidR="00021EF4" w:rsidRDefault="00597F8D">
      <w:pPr>
        <w:pStyle w:val="BodyText2"/>
        <w:rPr>
          <w:sz w:val="20"/>
        </w:rPr>
      </w:pPr>
      <w:r>
        <w:rPr>
          <w:sz w:val="20"/>
        </w:rPr>
        <w:t xml:space="preserve">D.  Rationale why existing process is deficient: </w:t>
      </w:r>
    </w:p>
    <w:p w:rsidR="00021EF4" w:rsidRDefault="00597F8D">
      <w:pPr>
        <w:pStyle w:val="BodyText2"/>
        <w:rPr>
          <w:sz w:val="20"/>
        </w:rPr>
      </w:pPr>
      <w:r>
        <w:rPr>
          <w:sz w:val="20"/>
          <w:u w:val="single"/>
        </w:rPr>
        <w:t xml:space="preserve">The NPAC does not enforce a 5 business day delay for conventional ports, and if the NPAC were to enforce a 5 business day delay it would do so only for those blocks that have not received a first port notification.  A 5 business day period allows for increased errors as service providers are unable to conduct activities for pending –X objects.  </w:t>
      </w:r>
    </w:p>
    <w:p w:rsidR="00021EF4" w:rsidRDefault="00021EF4">
      <w:pPr>
        <w:rPr>
          <w:sz w:val="24"/>
        </w:rPr>
      </w:pPr>
    </w:p>
    <w:p w:rsidR="00021EF4" w:rsidRDefault="00597F8D">
      <w:pPr>
        <w:pStyle w:val="BodyText2"/>
        <w:rPr>
          <w:sz w:val="20"/>
        </w:rPr>
      </w:pPr>
      <w:r>
        <w:rPr>
          <w:sz w:val="20"/>
        </w:rPr>
        <w:lastRenderedPageBreak/>
        <w:t>E.   Identify action taken in other committees / forums: 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1EF4" w:rsidRDefault="00021EF4">
      <w:pPr>
        <w:rPr>
          <w:sz w:val="24"/>
        </w:rPr>
      </w:pPr>
    </w:p>
    <w:p w:rsidR="00021EF4" w:rsidRDefault="00597F8D">
      <w:pPr>
        <w:pStyle w:val="BodyText2"/>
        <w:rPr>
          <w:sz w:val="20"/>
        </w:rPr>
      </w:pPr>
      <w:r>
        <w:rPr>
          <w:sz w:val="20"/>
        </w:rPr>
        <w:t>F.   Any other descriptive items: 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1EF4" w:rsidRDefault="00021EF4">
      <w:pPr>
        <w:rPr>
          <w:sz w:val="24"/>
        </w:rPr>
      </w:pPr>
    </w:p>
    <w:p w:rsidR="00021EF4" w:rsidRDefault="00597F8D">
      <w:pPr>
        <w:numPr>
          <w:ilvl w:val="0"/>
          <w:numId w:val="2"/>
        </w:numPr>
        <w:rPr>
          <w:sz w:val="24"/>
        </w:rPr>
      </w:pPr>
      <w:r>
        <w:rPr>
          <w:b/>
          <w:sz w:val="24"/>
        </w:rPr>
        <w:t>Suggested Resolution:</w:t>
      </w:r>
      <w:r>
        <w:rPr>
          <w:sz w:val="24"/>
        </w:rPr>
        <w:t xml:space="preserve"> </w:t>
      </w:r>
    </w:p>
    <w:p w:rsidR="00021EF4" w:rsidRDefault="00021EF4">
      <w:pPr>
        <w:rPr>
          <w:sz w:val="24"/>
        </w:rPr>
      </w:pPr>
    </w:p>
    <w:p w:rsidR="00021EF4" w:rsidRDefault="00597F8D">
      <w:pPr>
        <w:pStyle w:val="BodyText3"/>
      </w:pPr>
      <w:r>
        <w:t xml:space="preserve">A short term fix to reduction of the –x object 5 business day tunable from 5 business days to 1 business day.  Or a long term solution would be to remove the 5 business day delay completely. </w:t>
      </w:r>
    </w:p>
    <w:p w:rsidR="00021EF4" w:rsidRDefault="00021EF4">
      <w:pPr>
        <w:rPr>
          <w:sz w:val="24"/>
        </w:rPr>
      </w:pPr>
    </w:p>
    <w:p w:rsidR="00240421" w:rsidRPr="00EE728F" w:rsidRDefault="00240421" w:rsidP="00240421">
      <w:pPr>
        <w:pStyle w:val="ListParagraph"/>
        <w:numPr>
          <w:ilvl w:val="0"/>
          <w:numId w:val="2"/>
        </w:numPr>
      </w:pPr>
      <w:r w:rsidRPr="009469C7">
        <w:rPr>
          <w:b/>
        </w:rPr>
        <w:t>Final Resolution:</w:t>
      </w:r>
    </w:p>
    <w:p w:rsidR="00240421" w:rsidRPr="00EE728F" w:rsidRDefault="00240421" w:rsidP="00240421">
      <w:pPr>
        <w:ind w:left="360"/>
      </w:pPr>
    </w:p>
    <w:p w:rsidR="00240421" w:rsidRPr="00EE728F" w:rsidRDefault="00FD1125" w:rsidP="00240421">
      <w:pPr>
        <w:pBdr>
          <w:top w:val="single" w:sz="4" w:space="1" w:color="auto"/>
          <w:left w:val="single" w:sz="4" w:space="18" w:color="auto"/>
          <w:bottom w:val="single" w:sz="4" w:space="1" w:color="auto"/>
          <w:right w:val="single" w:sz="4" w:space="4" w:color="auto"/>
          <w:bar w:val="single" w:sz="4" w:color="auto"/>
        </w:pBdr>
        <w:ind w:left="270"/>
      </w:pPr>
      <w:r>
        <w:rPr>
          <w:sz w:val="18"/>
          <w:szCs w:val="18"/>
        </w:rPr>
        <w:t>This issue resulted in the creation and acceptance of a NANC Change Order.  For further detail refer to the</w:t>
      </w:r>
      <w:r w:rsidR="009C2F7C">
        <w:rPr>
          <w:sz w:val="18"/>
          <w:szCs w:val="18"/>
        </w:rPr>
        <w:t xml:space="preserve"> NANC Change Order(s</w:t>
      </w:r>
      <w:proofErr w:type="gramStart"/>
      <w:r w:rsidR="009C2F7C">
        <w:rPr>
          <w:sz w:val="18"/>
          <w:szCs w:val="18"/>
        </w:rPr>
        <w:t xml:space="preserve">) </w:t>
      </w:r>
      <w:r>
        <w:rPr>
          <w:sz w:val="18"/>
          <w:szCs w:val="18"/>
        </w:rPr>
        <w:t xml:space="preserve"> identified</w:t>
      </w:r>
      <w:proofErr w:type="gramEnd"/>
      <w:r>
        <w:rPr>
          <w:sz w:val="18"/>
          <w:szCs w:val="18"/>
        </w:rPr>
        <w:t xml:space="preserve"> in the Related Documents field </w:t>
      </w:r>
      <w:r w:rsidR="009C2F7C">
        <w:rPr>
          <w:sz w:val="18"/>
          <w:szCs w:val="18"/>
        </w:rPr>
        <w:t>below.</w:t>
      </w:r>
      <w:r>
        <w:rPr>
          <w:sz w:val="18"/>
          <w:szCs w:val="18"/>
        </w:rPr>
        <w:t xml:space="preserve"> </w:t>
      </w:r>
      <w:r w:rsidR="00240421">
        <w:t xml:space="preserve"> </w:t>
      </w:r>
    </w:p>
    <w:p w:rsidR="00240421" w:rsidRDefault="00240421" w:rsidP="00240421">
      <w:pPr>
        <w:rPr>
          <w:sz w:val="24"/>
        </w:rPr>
      </w:pPr>
    </w:p>
    <w:p w:rsidR="00021EF4" w:rsidRDefault="00021EF4">
      <w:pPr>
        <w:rPr>
          <w:sz w:val="24"/>
        </w:rPr>
      </w:pPr>
    </w:p>
    <w:p w:rsidR="00021EF4" w:rsidRDefault="00597F8D">
      <w:pPr>
        <w:pBdr>
          <w:top w:val="single" w:sz="4" w:space="1" w:color="auto"/>
          <w:left w:val="single" w:sz="4" w:space="4" w:color="auto"/>
          <w:bottom w:val="single" w:sz="4" w:space="1" w:color="auto"/>
          <w:right w:val="single" w:sz="4" w:space="4" w:color="auto"/>
        </w:pBdr>
        <w:shd w:val="pct10" w:color="000000" w:fill="FFFFFF"/>
        <w:rPr>
          <w:sz w:val="24"/>
        </w:rPr>
      </w:pPr>
      <w:r>
        <w:rPr>
          <w:b/>
          <w:sz w:val="24"/>
          <w:u w:val="single"/>
        </w:rPr>
        <w:t>LNPA WG:</w:t>
      </w:r>
      <w:r>
        <w:rPr>
          <w:sz w:val="24"/>
        </w:rPr>
        <w:t xml:space="preserve"> (only)</w:t>
      </w:r>
      <w:r w:rsidR="00240421">
        <w:rPr>
          <w:sz w:val="24"/>
        </w:rPr>
        <w:tab/>
      </w:r>
      <w:r w:rsidR="00240421">
        <w:rPr>
          <w:sz w:val="24"/>
        </w:rPr>
        <w:tab/>
      </w:r>
      <w:r w:rsidR="00240421">
        <w:rPr>
          <w:sz w:val="24"/>
        </w:rPr>
        <w:tab/>
      </w:r>
      <w:r w:rsidR="00240421">
        <w:rPr>
          <w:sz w:val="24"/>
        </w:rPr>
        <w:tab/>
      </w:r>
      <w:r w:rsidR="00240421">
        <w:rPr>
          <w:sz w:val="24"/>
        </w:rPr>
        <w:tab/>
        <w:t>Final Resolution Date:</w:t>
      </w:r>
      <w:r w:rsidR="00FD1125">
        <w:rPr>
          <w:sz w:val="24"/>
        </w:rPr>
        <w:t xml:space="preserve"> 3/07/2006</w:t>
      </w:r>
    </w:p>
    <w:p w:rsidR="00021EF4" w:rsidRDefault="00597F8D">
      <w:pPr>
        <w:pBdr>
          <w:top w:val="single" w:sz="4" w:space="1" w:color="auto"/>
          <w:left w:val="single" w:sz="4" w:space="4" w:color="auto"/>
          <w:bottom w:val="single" w:sz="4" w:space="1" w:color="auto"/>
          <w:right w:val="single" w:sz="4" w:space="4" w:color="auto"/>
        </w:pBdr>
        <w:shd w:val="pct10" w:color="000000" w:fill="FFFFFF"/>
        <w:rPr>
          <w:sz w:val="24"/>
        </w:rPr>
      </w:pPr>
      <w:r>
        <w:rPr>
          <w:sz w:val="24"/>
        </w:rPr>
        <w:t>Item Number: 0038</w:t>
      </w:r>
      <w:r w:rsidR="00240421">
        <w:rPr>
          <w:sz w:val="24"/>
        </w:rPr>
        <w:t xml:space="preserve"> v2</w:t>
      </w:r>
      <w:r w:rsidR="00240421">
        <w:rPr>
          <w:sz w:val="24"/>
        </w:rPr>
        <w:tab/>
      </w:r>
      <w:r w:rsidR="00240421">
        <w:rPr>
          <w:sz w:val="24"/>
        </w:rPr>
        <w:tab/>
      </w:r>
      <w:r w:rsidR="00240421">
        <w:rPr>
          <w:sz w:val="24"/>
        </w:rPr>
        <w:tab/>
      </w:r>
      <w:r w:rsidR="00240421">
        <w:rPr>
          <w:sz w:val="24"/>
        </w:rPr>
        <w:tab/>
        <w:t>Related Documents:</w:t>
      </w:r>
      <w:r>
        <w:rPr>
          <w:sz w:val="24"/>
        </w:rPr>
        <w:tab/>
      </w:r>
      <w:r w:rsidR="00FD1125">
        <w:rPr>
          <w:sz w:val="24"/>
        </w:rPr>
        <w:t>NANC 394</w:t>
      </w:r>
    </w:p>
    <w:p w:rsidR="00021EF4" w:rsidRDefault="00597F8D">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Issue Resolution Referred to: </w:t>
      </w:r>
      <w:r>
        <w:t>_________________________________________________________</w:t>
      </w:r>
    </w:p>
    <w:p w:rsidR="00021EF4" w:rsidRDefault="00597F8D">
      <w:pPr>
        <w:pBdr>
          <w:top w:val="single" w:sz="4" w:space="1" w:color="auto"/>
          <w:left w:val="single" w:sz="4" w:space="4" w:color="auto"/>
          <w:bottom w:val="single" w:sz="4" w:space="1" w:color="auto"/>
          <w:right w:val="single" w:sz="4" w:space="4" w:color="auto"/>
        </w:pBdr>
        <w:shd w:val="pct10" w:color="000000" w:fill="FFFFFF"/>
      </w:pPr>
      <w:r>
        <w:rPr>
          <w:sz w:val="24"/>
        </w:rPr>
        <w:t>Why Issue Referred:</w:t>
      </w:r>
      <w:r>
        <w:t xml:space="preserve"> __________________________________________________________________</w:t>
      </w:r>
      <w:r>
        <w:rPr>
          <w:sz w:val="24"/>
        </w:rPr>
        <w:t xml:space="preserve"> </w:t>
      </w:r>
      <w:r>
        <w:t>____________________________________________________________________________________________________________________________________________________________________________</w:t>
      </w:r>
    </w:p>
    <w:sectPr w:rsidR="00021EF4">
      <w:headerReference w:type="default" r:id="rId7"/>
      <w:footerReference w:type="even" r:id="rId8"/>
      <w:footerReference w:type="default" r:id="rId9"/>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EF4" w:rsidRDefault="00597F8D">
      <w:r>
        <w:separator/>
      </w:r>
    </w:p>
  </w:endnote>
  <w:endnote w:type="continuationSeparator" w:id="0">
    <w:p w:rsidR="00021EF4" w:rsidRDefault="0059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EF4" w:rsidRDefault="00597F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21EF4" w:rsidRDefault="00021E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EF4" w:rsidRDefault="00597F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50B8">
      <w:rPr>
        <w:rStyle w:val="PageNumber"/>
        <w:noProof/>
      </w:rPr>
      <w:t>1</w:t>
    </w:r>
    <w:r>
      <w:rPr>
        <w:rStyle w:val="PageNumber"/>
      </w:rPr>
      <w:fldChar w:fldCharType="end"/>
    </w:r>
  </w:p>
  <w:p w:rsidR="00021EF4" w:rsidRDefault="00021E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EF4" w:rsidRDefault="00597F8D">
      <w:r>
        <w:separator/>
      </w:r>
    </w:p>
  </w:footnote>
  <w:footnote w:type="continuationSeparator" w:id="0">
    <w:p w:rsidR="00021EF4" w:rsidRDefault="00597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EF4" w:rsidRDefault="00597F8D">
    <w:pPr>
      <w:pStyle w:val="Header"/>
    </w:pPr>
    <w:r>
      <w:t>NANC – LNPA Working Group</w:t>
    </w:r>
    <w:r>
      <w:tab/>
      <w:t xml:space="preserve">                     </w:t>
    </w:r>
    <w:r>
      <w:tab/>
      <w:t>Problem/Issue Identification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64B95"/>
    <w:multiLevelType w:val="hybridMultilevel"/>
    <w:tmpl w:val="83D05BB2"/>
    <w:lvl w:ilvl="0" w:tplc="FE4E943E">
      <w:start w:val="2"/>
      <w:numFmt w:val="upperLetter"/>
      <w:lvlText w:val="%1."/>
      <w:lvlJc w:val="left"/>
      <w:pPr>
        <w:tabs>
          <w:tab w:val="num" w:pos="720"/>
        </w:tabs>
        <w:ind w:left="720" w:hanging="360"/>
      </w:pPr>
      <w:rPr>
        <w:rFonts w:hint="default"/>
      </w:rPr>
    </w:lvl>
    <w:lvl w:ilvl="1" w:tplc="739EEE1E" w:tentative="1">
      <w:start w:val="1"/>
      <w:numFmt w:val="lowerLetter"/>
      <w:lvlText w:val="%2."/>
      <w:lvlJc w:val="left"/>
      <w:pPr>
        <w:tabs>
          <w:tab w:val="num" w:pos="1440"/>
        </w:tabs>
        <w:ind w:left="1440" w:hanging="360"/>
      </w:pPr>
    </w:lvl>
    <w:lvl w:ilvl="2" w:tplc="AFB42364" w:tentative="1">
      <w:start w:val="1"/>
      <w:numFmt w:val="lowerRoman"/>
      <w:lvlText w:val="%3."/>
      <w:lvlJc w:val="right"/>
      <w:pPr>
        <w:tabs>
          <w:tab w:val="num" w:pos="2160"/>
        </w:tabs>
        <w:ind w:left="2160" w:hanging="180"/>
      </w:pPr>
    </w:lvl>
    <w:lvl w:ilvl="3" w:tplc="308A66E6" w:tentative="1">
      <w:start w:val="1"/>
      <w:numFmt w:val="decimal"/>
      <w:lvlText w:val="%4."/>
      <w:lvlJc w:val="left"/>
      <w:pPr>
        <w:tabs>
          <w:tab w:val="num" w:pos="2880"/>
        </w:tabs>
        <w:ind w:left="2880" w:hanging="360"/>
      </w:pPr>
    </w:lvl>
    <w:lvl w:ilvl="4" w:tplc="E680788E" w:tentative="1">
      <w:start w:val="1"/>
      <w:numFmt w:val="lowerLetter"/>
      <w:lvlText w:val="%5."/>
      <w:lvlJc w:val="left"/>
      <w:pPr>
        <w:tabs>
          <w:tab w:val="num" w:pos="3600"/>
        </w:tabs>
        <w:ind w:left="3600" w:hanging="360"/>
      </w:pPr>
    </w:lvl>
    <w:lvl w:ilvl="5" w:tplc="7E7E0B20" w:tentative="1">
      <w:start w:val="1"/>
      <w:numFmt w:val="lowerRoman"/>
      <w:lvlText w:val="%6."/>
      <w:lvlJc w:val="right"/>
      <w:pPr>
        <w:tabs>
          <w:tab w:val="num" w:pos="4320"/>
        </w:tabs>
        <w:ind w:left="4320" w:hanging="180"/>
      </w:pPr>
    </w:lvl>
    <w:lvl w:ilvl="6" w:tplc="09C2CC76" w:tentative="1">
      <w:start w:val="1"/>
      <w:numFmt w:val="decimal"/>
      <w:lvlText w:val="%7."/>
      <w:lvlJc w:val="left"/>
      <w:pPr>
        <w:tabs>
          <w:tab w:val="num" w:pos="5040"/>
        </w:tabs>
        <w:ind w:left="5040" w:hanging="360"/>
      </w:pPr>
    </w:lvl>
    <w:lvl w:ilvl="7" w:tplc="7006023C" w:tentative="1">
      <w:start w:val="1"/>
      <w:numFmt w:val="lowerLetter"/>
      <w:lvlText w:val="%8."/>
      <w:lvlJc w:val="left"/>
      <w:pPr>
        <w:tabs>
          <w:tab w:val="num" w:pos="5760"/>
        </w:tabs>
        <w:ind w:left="5760" w:hanging="360"/>
      </w:pPr>
    </w:lvl>
    <w:lvl w:ilvl="8" w:tplc="1DE66B28" w:tentative="1">
      <w:start w:val="1"/>
      <w:numFmt w:val="lowerRoman"/>
      <w:lvlText w:val="%9."/>
      <w:lvlJc w:val="right"/>
      <w:pPr>
        <w:tabs>
          <w:tab w:val="num" w:pos="6480"/>
        </w:tabs>
        <w:ind w:left="6480" w:hanging="180"/>
      </w:pPr>
    </w:lvl>
  </w:abstractNum>
  <w:abstractNum w:abstractNumId="1" w15:restartNumberingAfterBreak="0">
    <w:nsid w:val="1A7D75E9"/>
    <w:multiLevelType w:val="singleLevel"/>
    <w:tmpl w:val="649AC038"/>
    <w:lvl w:ilvl="0">
      <w:start w:val="1"/>
      <w:numFmt w:val="decimal"/>
      <w:lvlText w:val="%1."/>
      <w:lvlJc w:val="left"/>
      <w:pPr>
        <w:tabs>
          <w:tab w:val="num" w:pos="360"/>
        </w:tabs>
        <w:ind w:left="360" w:hanging="360"/>
      </w:pPr>
      <w:rPr>
        <w:rFonts w:hint="default"/>
        <w:b/>
        <w:sz w:val="24"/>
      </w:rPr>
    </w:lvl>
  </w:abstractNum>
  <w:abstractNum w:abstractNumId="2" w15:restartNumberingAfterBreak="0">
    <w:nsid w:val="3CEB3A4B"/>
    <w:multiLevelType w:val="singleLevel"/>
    <w:tmpl w:val="04090015"/>
    <w:lvl w:ilvl="0">
      <w:start w:val="3"/>
      <w:numFmt w:val="upperLetter"/>
      <w:lvlText w:val="%1."/>
      <w:lvlJc w:val="left"/>
      <w:pPr>
        <w:tabs>
          <w:tab w:val="num" w:pos="360"/>
        </w:tabs>
        <w:ind w:left="360" w:hanging="360"/>
      </w:pPr>
      <w:rPr>
        <w:rFonts w:hint="default"/>
      </w:rPr>
    </w:lvl>
  </w:abstractNum>
  <w:abstractNum w:abstractNumId="3"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F8D"/>
    <w:rsid w:val="00021EF4"/>
    <w:rsid w:val="00146624"/>
    <w:rsid w:val="00240421"/>
    <w:rsid w:val="0053392D"/>
    <w:rsid w:val="00597F8D"/>
    <w:rsid w:val="00610928"/>
    <w:rsid w:val="009C2F7C"/>
    <w:rsid w:val="00B650B8"/>
    <w:rsid w:val="00FD1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0659641-CB5D-41CD-848D-B43C64058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pPr>
      <w:pBdr>
        <w:between w:val="single" w:sz="4" w:space="1" w:color="auto"/>
      </w:pBdr>
      <w:jc w:val="center"/>
    </w:pPr>
    <w:rPr>
      <w:b/>
      <w:sz w:val="28"/>
    </w:rPr>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uiPriority w:val="99"/>
    <w:semiHidden/>
    <w:unhideWhenUsed/>
    <w:rsid w:val="00533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92D"/>
    <w:rPr>
      <w:rFonts w:ascii="Segoe UI" w:hAnsi="Segoe UI" w:cs="Segoe UI"/>
      <w:sz w:val="18"/>
      <w:szCs w:val="18"/>
    </w:rPr>
  </w:style>
  <w:style w:type="paragraph" w:styleId="ListParagraph">
    <w:name w:val="List Paragraph"/>
    <w:basedOn w:val="Normal"/>
    <w:uiPriority w:val="1"/>
    <w:qFormat/>
    <w:rsid w:val="00240421"/>
    <w:pPr>
      <w:widowControl w:val="0"/>
      <w:autoSpaceDE w:val="0"/>
      <w:autoSpaceDN w:val="0"/>
      <w:adjustRightInd w:val="0"/>
      <w:ind w:left="562" w:hanging="36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504</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Sprint-Internal Use Only</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mdoherty@iconectiv.com</dc:creator>
  <cp:keywords/>
  <cp:lastModifiedBy>Doherty, Michael</cp:lastModifiedBy>
  <cp:revision>8</cp:revision>
  <cp:lastPrinted>1999-05-19T19:58:00Z</cp:lastPrinted>
  <dcterms:created xsi:type="dcterms:W3CDTF">2020-09-23T11:47:00Z</dcterms:created>
  <dcterms:modified xsi:type="dcterms:W3CDTF">2020-10-07T20:12:00Z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-1804482711</vt:i4>
  </property>
  <property fmtid="{D5CDD505-2E9C-101B-9397-08002B2CF9AE}" pid="3" name="_EmailSubject">
    <vt:lpwstr>rev 1 LNPA-PROB-ID-FORM (-X PIM).doc</vt:lpwstr>
  </property>
  <property fmtid="{D5CDD505-2E9C-101B-9397-08002B2CF9AE}" pid="4" name="_AuthorEmail">
    <vt:lpwstr>StSanchez@attws-wr.swest.attws.com</vt:lpwstr>
  </property>
  <property fmtid="{D5CDD505-2E9C-101B-9397-08002B2CF9AE}" pid="5" name="_AuthorEmailDisplayName">
    <vt:lpwstr>Sanchez, Stephen</vt:lpwstr>
  </property>
  <property fmtid="{D5CDD505-2E9C-101B-9397-08002B2CF9AE}" pid="6" name="_ReviewingToolsShownOnce">
    <vt:lpwstr/>
  </property>
</Properties>
</file>