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CE" w:rsidRDefault="00EC7CED">
      <w:pPr>
        <w:pStyle w:val="Title"/>
        <w:shd w:val="clear" w:color="auto" w:fill="C0C0C0"/>
      </w:pPr>
      <w:bookmarkStart w:id="0" w:name="_GoBack"/>
      <w:bookmarkEnd w:id="0"/>
      <w:r>
        <w:t>LNP Problem/Issue Identification and Description Form</w:t>
      </w:r>
    </w:p>
    <w:p w:rsidR="00674ACE" w:rsidRDefault="00674ACE">
      <w:pPr>
        <w:rPr>
          <w:sz w:val="24"/>
        </w:rPr>
      </w:pPr>
    </w:p>
    <w:p w:rsidR="00674ACE" w:rsidRDefault="00674ACE">
      <w:pPr>
        <w:rPr>
          <w:sz w:val="24"/>
        </w:rPr>
      </w:pPr>
    </w:p>
    <w:p w:rsidR="00674ACE" w:rsidRDefault="00EC7CED">
      <w:pPr>
        <w:pBdr>
          <w:top w:val="single" w:sz="4" w:space="1" w:color="auto"/>
          <w:left w:val="single" w:sz="4" w:space="4" w:color="auto"/>
          <w:bottom w:val="single" w:sz="4" w:space="1" w:color="auto"/>
          <w:right w:val="single" w:sz="4" w:space="4" w:color="auto"/>
        </w:pBdr>
        <w:rPr>
          <w:rFonts w:ascii="Arial" w:hAnsi="Arial"/>
          <w:b/>
          <w:sz w:val="22"/>
        </w:rPr>
      </w:pPr>
      <w:r>
        <w:rPr>
          <w:rFonts w:ascii="Arial" w:hAnsi="Arial"/>
          <w:b/>
          <w:sz w:val="22"/>
        </w:rPr>
        <w:t>Submittal Date</w:t>
      </w:r>
      <w:r>
        <w:rPr>
          <w:rFonts w:ascii="Arial" w:hAnsi="Arial"/>
          <w:sz w:val="22"/>
        </w:rPr>
        <w:t xml:space="preserve"> (mm/</w:t>
      </w:r>
      <w:proofErr w:type="spellStart"/>
      <w:r>
        <w:rPr>
          <w:rFonts w:ascii="Arial" w:hAnsi="Arial"/>
          <w:sz w:val="22"/>
        </w:rPr>
        <w:t>dd</w:t>
      </w:r>
      <w:proofErr w:type="spellEnd"/>
      <w:r>
        <w:rPr>
          <w:rFonts w:ascii="Arial" w:hAnsi="Arial"/>
          <w:sz w:val="22"/>
        </w:rPr>
        <w:t>/</w:t>
      </w:r>
      <w:proofErr w:type="spellStart"/>
      <w:r>
        <w:rPr>
          <w:rFonts w:ascii="Arial" w:hAnsi="Arial"/>
          <w:sz w:val="22"/>
        </w:rPr>
        <w:t>yyyy</w:t>
      </w:r>
      <w:proofErr w:type="spellEnd"/>
      <w:r>
        <w:rPr>
          <w:rFonts w:ascii="Arial" w:hAnsi="Arial"/>
          <w:sz w:val="22"/>
        </w:rPr>
        <w:t>):  5/27/04</w:t>
      </w:r>
      <w:r>
        <w:rPr>
          <w:rFonts w:ascii="Arial" w:hAnsi="Arial"/>
          <w:sz w:val="22"/>
        </w:rPr>
        <w:tab/>
      </w:r>
      <w:r>
        <w:rPr>
          <w:rFonts w:ascii="Arial" w:hAnsi="Arial"/>
          <w:sz w:val="22"/>
        </w:rPr>
        <w:tab/>
      </w:r>
      <w:r w:rsidR="00F52EEC">
        <w:rPr>
          <w:rFonts w:ascii="Arial" w:hAnsi="Arial"/>
          <w:sz w:val="22"/>
        </w:rPr>
        <w:tab/>
      </w:r>
      <w:r>
        <w:rPr>
          <w:rFonts w:ascii="Arial" w:hAnsi="Arial"/>
          <w:b/>
          <w:sz w:val="22"/>
        </w:rPr>
        <w:t>PIM # 40</w:t>
      </w:r>
      <w:r w:rsidR="00F52EEC">
        <w:rPr>
          <w:rFonts w:ascii="Arial" w:hAnsi="Arial"/>
          <w:b/>
          <w:sz w:val="22"/>
        </w:rPr>
        <w:t xml:space="preserve"> </w:t>
      </w:r>
      <w:r>
        <w:rPr>
          <w:rFonts w:ascii="Arial" w:hAnsi="Arial"/>
          <w:b/>
          <w:sz w:val="22"/>
        </w:rPr>
        <w:t>v</w:t>
      </w:r>
      <w:r w:rsidR="00F52EEC">
        <w:rPr>
          <w:rFonts w:ascii="Arial" w:hAnsi="Arial"/>
          <w:b/>
          <w:sz w:val="22"/>
        </w:rPr>
        <w:t>5</w:t>
      </w: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Company(s) Submitting Issue</w:t>
      </w:r>
      <w:r>
        <w:rPr>
          <w:rFonts w:ascii="Arial" w:hAnsi="Arial"/>
          <w:sz w:val="22"/>
        </w:rPr>
        <w:t>:  Verizon Wireless</w:t>
      </w: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 xml:space="preserve">Contact(s):    </w:t>
      </w:r>
      <w:proofErr w:type="gramStart"/>
      <w:r>
        <w:rPr>
          <w:rFonts w:ascii="Arial" w:hAnsi="Arial"/>
          <w:b/>
          <w:sz w:val="22"/>
        </w:rPr>
        <w:t>Name</w:t>
      </w:r>
      <w:r>
        <w:rPr>
          <w:rFonts w:ascii="Arial" w:hAnsi="Arial"/>
          <w:sz w:val="22"/>
        </w:rPr>
        <w:t xml:space="preserve">  Julie</w:t>
      </w:r>
      <w:proofErr w:type="gramEnd"/>
      <w:r>
        <w:rPr>
          <w:rFonts w:ascii="Arial" w:hAnsi="Arial"/>
          <w:sz w:val="22"/>
        </w:rPr>
        <w:t xml:space="preserve"> </w:t>
      </w:r>
      <w:proofErr w:type="spellStart"/>
      <w:r>
        <w:rPr>
          <w:rFonts w:ascii="Arial" w:hAnsi="Arial"/>
          <w:sz w:val="22"/>
        </w:rPr>
        <w:t>Groenen</w:t>
      </w:r>
      <w:proofErr w:type="spellEnd"/>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ab/>
        <w:t xml:space="preserve">         </w:t>
      </w:r>
      <w:r>
        <w:rPr>
          <w:rFonts w:ascii="Arial" w:hAnsi="Arial"/>
          <w:b/>
          <w:sz w:val="22"/>
        </w:rPr>
        <w:t>Contact Number</w:t>
      </w:r>
      <w:r>
        <w:rPr>
          <w:rFonts w:ascii="Arial" w:hAnsi="Arial"/>
          <w:sz w:val="22"/>
        </w:rPr>
        <w:t xml:space="preserve">   206-940-1072 cell 425-603-2282 work VM</w:t>
      </w: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ab/>
        <w:t xml:space="preserve">         </w:t>
      </w:r>
      <w:r>
        <w:rPr>
          <w:rFonts w:ascii="Arial" w:hAnsi="Arial"/>
          <w:b/>
          <w:sz w:val="22"/>
        </w:rPr>
        <w:t>Email Address</w:t>
      </w:r>
      <w:r>
        <w:rPr>
          <w:rFonts w:ascii="Arial" w:hAnsi="Arial"/>
          <w:sz w:val="22"/>
        </w:rPr>
        <w:t xml:space="preserve">   Julie.Groenen@Verizonwireless.com</w:t>
      </w:r>
    </w:p>
    <w:p w:rsidR="00674ACE" w:rsidRDefault="00EC7CED">
      <w:pPr>
        <w:pBdr>
          <w:top w:val="single" w:sz="4" w:space="1" w:color="auto"/>
          <w:left w:val="single" w:sz="4" w:space="4" w:color="auto"/>
          <w:bottom w:val="single" w:sz="4" w:space="1" w:color="auto"/>
          <w:right w:val="single" w:sz="4" w:space="4" w:color="auto"/>
        </w:pBdr>
        <w:rPr>
          <w:rFonts w:ascii="Arial" w:hAnsi="Arial"/>
          <w:b/>
          <w:sz w:val="16"/>
        </w:rPr>
      </w:pPr>
      <w:r>
        <w:rPr>
          <w:rFonts w:ascii="Arial" w:hAnsi="Arial"/>
          <w:b/>
          <w:sz w:val="16"/>
        </w:rPr>
        <w:t>(NOTE: Submitting Company(s) is to complete this section of the form along with Sections 1, 2 and 3.)</w:t>
      </w:r>
    </w:p>
    <w:p w:rsidR="00674ACE" w:rsidRDefault="00674ACE">
      <w:pPr>
        <w:rPr>
          <w:rFonts w:ascii="Arial" w:hAnsi="Arial"/>
          <w:sz w:val="22"/>
          <w:u w:val="single"/>
        </w:rPr>
      </w:pPr>
    </w:p>
    <w:p w:rsidR="00674ACE" w:rsidRDefault="00674ACE">
      <w:pPr>
        <w:rPr>
          <w:rFonts w:ascii="Arial" w:hAnsi="Arial"/>
          <w:sz w:val="22"/>
          <w:u w:val="single"/>
        </w:rPr>
      </w:pPr>
    </w:p>
    <w:p w:rsidR="00674ACE" w:rsidRDefault="00EC7CED">
      <w:pPr>
        <w:numPr>
          <w:ilvl w:val="0"/>
          <w:numId w:val="3"/>
        </w:numPr>
        <w:rPr>
          <w:rFonts w:ascii="Arial" w:hAnsi="Arial"/>
          <w:sz w:val="22"/>
        </w:rPr>
      </w:pPr>
      <w:r>
        <w:rPr>
          <w:rFonts w:ascii="Arial" w:hAnsi="Arial"/>
          <w:b/>
          <w:sz w:val="22"/>
        </w:rPr>
        <w:t>Problem/Issue Statement:</w:t>
      </w:r>
      <w:r>
        <w:rPr>
          <w:rFonts w:ascii="Arial" w:hAnsi="Arial"/>
          <w:sz w:val="22"/>
        </w:rPr>
        <w:t xml:space="preserve"> (Brief statement outlining the problem/issue.)</w:t>
      </w:r>
    </w:p>
    <w:p w:rsidR="00674ACE" w:rsidRDefault="00674ACE">
      <w:pPr>
        <w:pStyle w:val="BodyText"/>
        <w:pBdr>
          <w:top w:val="none" w:sz="0" w:space="0" w:color="auto"/>
          <w:left w:val="none" w:sz="0" w:space="0" w:color="auto"/>
          <w:bottom w:val="none" w:sz="0" w:space="0" w:color="auto"/>
          <w:right w:val="none" w:sz="0" w:space="0" w:color="auto"/>
        </w:pBdr>
        <w:rPr>
          <w:rFonts w:ascii="Arial" w:hAnsi="Arial"/>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674ACE">
        <w:trPr>
          <w:trHeight w:val="2942"/>
        </w:trPr>
        <w:tc>
          <w:tcPr>
            <w:tcW w:w="8856" w:type="dxa"/>
          </w:tcPr>
          <w:p w:rsidR="00674ACE" w:rsidRDefault="00EC7CED">
            <w:pPr>
              <w:pStyle w:val="BodyTextIndent"/>
            </w:pPr>
            <w:r>
              <w:t xml:space="preserve">The intention of this PIM is to discuss minimum industry standards for LNP readiness </w:t>
            </w:r>
          </w:p>
          <w:p w:rsidR="00674ACE" w:rsidRDefault="00EC7CED">
            <w:pPr>
              <w:pStyle w:val="BodyTextIndent"/>
            </w:pPr>
            <w:proofErr w:type="gramStart"/>
            <w:r>
              <w:t>that</w:t>
            </w:r>
            <w:proofErr w:type="gramEnd"/>
            <w:r>
              <w:t xml:space="preserve"> must be adhered to by all companies in order to port. The following are concerns </w:t>
            </w:r>
          </w:p>
          <w:p w:rsidR="00674ACE" w:rsidRDefault="00EC7CED">
            <w:pPr>
              <w:pStyle w:val="BodyTextIndent"/>
            </w:pPr>
            <w:r>
              <w:t xml:space="preserve">regarding low-tech carrier porting processes: </w:t>
            </w:r>
          </w:p>
          <w:p w:rsidR="00674ACE" w:rsidRDefault="00674ACE">
            <w:pPr>
              <w:ind w:left="1080" w:hanging="360"/>
              <w:rPr>
                <w:rFonts w:ascii="Arial" w:hAnsi="Arial"/>
                <w:sz w:val="22"/>
              </w:rPr>
            </w:pPr>
          </w:p>
          <w:p w:rsidR="00674ACE" w:rsidRDefault="00EC7CED">
            <w:pPr>
              <w:numPr>
                <w:ilvl w:val="0"/>
                <w:numId w:val="8"/>
              </w:numPr>
              <w:rPr>
                <w:rFonts w:ascii="Arial" w:hAnsi="Arial"/>
                <w:sz w:val="22"/>
              </w:rPr>
            </w:pPr>
            <w:r>
              <w:rPr>
                <w:rFonts w:ascii="Arial" w:hAnsi="Arial"/>
                <w:b/>
                <w:sz w:val="22"/>
              </w:rPr>
              <w:t xml:space="preserve">Provisioning codes in the NPAC: </w:t>
            </w:r>
            <w:r>
              <w:rPr>
                <w:rFonts w:ascii="Arial" w:hAnsi="Arial"/>
                <w:sz w:val="22"/>
              </w:rPr>
              <w:t xml:space="preserve"> Carriers using low-tech processes are saying they will not be provisioning their NPA NXX’s with the NPAC in advance, but only at the time they receive a port request.  The process they will use is to call the NPAC and have the codes provisioned at the time of the request and then immediately have an SV created in the SOA.  Most automated carriers receive a daily download from vendors who must first receive the data from the NPAC. This means that the automated process is actually delayed up to 2 days when the NPA NXX’s a carrier has customers on could be provisioned in advance with the NPAC and eliminate the delay for larger carriers. </w:t>
            </w:r>
          </w:p>
          <w:p w:rsidR="00674ACE" w:rsidRDefault="00674ACE">
            <w:pPr>
              <w:rPr>
                <w:rFonts w:ascii="Arial" w:hAnsi="Arial"/>
                <w:sz w:val="22"/>
              </w:rPr>
            </w:pPr>
          </w:p>
          <w:p w:rsidR="00674ACE" w:rsidRDefault="00EC7CED">
            <w:pPr>
              <w:numPr>
                <w:ilvl w:val="0"/>
                <w:numId w:val="8"/>
              </w:numPr>
              <w:rPr>
                <w:rFonts w:ascii="Arial" w:hAnsi="Arial"/>
                <w:sz w:val="22"/>
              </w:rPr>
            </w:pPr>
            <w:r>
              <w:rPr>
                <w:rFonts w:ascii="Arial" w:hAnsi="Arial"/>
                <w:b/>
                <w:sz w:val="22"/>
              </w:rPr>
              <w:t xml:space="preserve">Opening codes in the </w:t>
            </w:r>
            <w:r>
              <w:rPr>
                <w:b/>
                <w:sz w:val="24"/>
              </w:rPr>
              <w:t>Telcordia LERG</w:t>
            </w:r>
            <w:r>
              <w:rPr>
                <w:b/>
                <w:sz w:val="24"/>
                <w:vertAlign w:val="superscript"/>
              </w:rPr>
              <w:t>TM</w:t>
            </w:r>
            <w:r>
              <w:rPr>
                <w:b/>
                <w:sz w:val="24"/>
              </w:rPr>
              <w:t xml:space="preserve"> Routing Guide</w:t>
            </w:r>
            <w:r>
              <w:rPr>
                <w:rFonts w:ascii="Arial" w:hAnsi="Arial"/>
                <w:b/>
                <w:sz w:val="22"/>
              </w:rPr>
              <w:t xml:space="preserve">: </w:t>
            </w:r>
            <w:r>
              <w:rPr>
                <w:rFonts w:ascii="Arial" w:hAnsi="Arial"/>
                <w:sz w:val="22"/>
              </w:rPr>
              <w:t xml:space="preserve"> Some carriers have mentioned that they will not necessarily update the </w:t>
            </w:r>
            <w:r>
              <w:rPr>
                <w:sz w:val="24"/>
              </w:rPr>
              <w:t>Telcordia LERG</w:t>
            </w:r>
            <w:r>
              <w:rPr>
                <w:sz w:val="24"/>
                <w:vertAlign w:val="superscript"/>
              </w:rPr>
              <w:t>TM</w:t>
            </w:r>
            <w:r>
              <w:rPr>
                <w:sz w:val="24"/>
              </w:rPr>
              <w:t xml:space="preserve"> Routing Guide</w:t>
            </w:r>
            <w:r>
              <w:rPr>
                <w:rFonts w:ascii="Arial" w:hAnsi="Arial"/>
                <w:sz w:val="22"/>
              </w:rPr>
              <w:t xml:space="preserve"> with their codes marked as portable prior to 30 days in advance of when they could receive a port request on that NPA NXX.       </w:t>
            </w:r>
          </w:p>
        </w:tc>
      </w:tr>
    </w:tbl>
    <w:p w:rsidR="00674ACE" w:rsidRDefault="00674ACE">
      <w:pPr>
        <w:pStyle w:val="BodyText"/>
        <w:pBdr>
          <w:top w:val="none" w:sz="0" w:space="0" w:color="auto"/>
          <w:left w:val="none" w:sz="0" w:space="0" w:color="auto"/>
          <w:bottom w:val="none" w:sz="0" w:space="0" w:color="auto"/>
          <w:right w:val="none" w:sz="0" w:space="0" w:color="auto"/>
        </w:pBdr>
        <w:rPr>
          <w:rFonts w:ascii="Arial" w:hAnsi="Arial"/>
          <w:sz w:val="22"/>
          <w:u w:val="none"/>
        </w:rPr>
      </w:pPr>
    </w:p>
    <w:p w:rsidR="00674ACE" w:rsidRDefault="00674ACE">
      <w:pPr>
        <w:pStyle w:val="BodyText"/>
        <w:pBdr>
          <w:top w:val="none" w:sz="0" w:space="0" w:color="auto"/>
          <w:left w:val="none" w:sz="0" w:space="0" w:color="auto"/>
          <w:bottom w:val="none" w:sz="0" w:space="0" w:color="auto"/>
          <w:right w:val="none" w:sz="0" w:space="0" w:color="auto"/>
        </w:pBdr>
        <w:rPr>
          <w:rFonts w:ascii="Arial" w:hAnsi="Arial"/>
          <w:sz w:val="22"/>
          <w:u w:val="none"/>
        </w:rPr>
      </w:pPr>
    </w:p>
    <w:p w:rsidR="00674ACE" w:rsidRDefault="00EC7CED">
      <w:pPr>
        <w:pStyle w:val="BodyText"/>
        <w:numPr>
          <w:ilvl w:val="0"/>
          <w:numId w:val="2"/>
        </w:numPr>
        <w:pBdr>
          <w:top w:val="none" w:sz="0" w:space="0" w:color="auto"/>
          <w:left w:val="none" w:sz="0" w:space="0" w:color="auto"/>
          <w:bottom w:val="none" w:sz="0" w:space="0" w:color="auto"/>
          <w:right w:val="none" w:sz="0" w:space="0" w:color="auto"/>
        </w:pBdr>
        <w:rPr>
          <w:rFonts w:ascii="Arial" w:hAnsi="Arial"/>
          <w:sz w:val="22"/>
          <w:u w:val="none"/>
        </w:rPr>
      </w:pPr>
      <w:r>
        <w:rPr>
          <w:rFonts w:ascii="Arial" w:hAnsi="Arial"/>
          <w:b/>
          <w:sz w:val="22"/>
          <w:u w:val="none"/>
        </w:rPr>
        <w:t>Problem/Issue Description:</w:t>
      </w:r>
      <w:r>
        <w:rPr>
          <w:rFonts w:ascii="Arial" w:hAnsi="Arial"/>
          <w:sz w:val="22"/>
          <w:u w:val="none"/>
        </w:rPr>
        <w:t xml:space="preserve"> (Provide detailed description of problem/issue.)</w:t>
      </w:r>
    </w:p>
    <w:p w:rsidR="00674ACE" w:rsidRDefault="00674ACE">
      <w:pPr>
        <w:pStyle w:val="BodyText"/>
        <w:pBdr>
          <w:top w:val="none" w:sz="0" w:space="0" w:color="auto"/>
          <w:left w:val="none" w:sz="0" w:space="0" w:color="auto"/>
          <w:bottom w:val="none" w:sz="0" w:space="0" w:color="auto"/>
          <w:right w:val="none" w:sz="0" w:space="0" w:color="auto"/>
        </w:pBdr>
        <w:rPr>
          <w:rFonts w:ascii="Arial" w:hAnsi="Arial"/>
          <w:sz w:val="22"/>
          <w:u w:val="none"/>
        </w:rPr>
      </w:pPr>
    </w:p>
    <w:p w:rsidR="00674ACE" w:rsidRDefault="00EC7CED">
      <w:pPr>
        <w:pStyle w:val="BodyText2"/>
        <w:numPr>
          <w:ilvl w:val="0"/>
          <w:numId w:val="4"/>
        </w:numPr>
        <w:tabs>
          <w:tab w:val="clear" w:pos="360"/>
          <w:tab w:val="num" w:pos="-90"/>
        </w:tabs>
        <w:rPr>
          <w:rFonts w:ascii="Arial" w:hAnsi="Arial"/>
          <w:sz w:val="22"/>
        </w:rPr>
      </w:pPr>
      <w:r>
        <w:rPr>
          <w:rFonts w:ascii="Arial" w:hAnsi="Arial"/>
          <w:b/>
          <w:sz w:val="22"/>
        </w:rPr>
        <w:t xml:space="preserve">Examples &amp; Impacts of Problem/Issue:  </w:t>
      </w:r>
      <w:r>
        <w:rPr>
          <w:rFonts w:ascii="Arial" w:hAnsi="Arial"/>
          <w:sz w:val="22"/>
        </w:rPr>
        <w:t xml:space="preserve">  </w:t>
      </w:r>
    </w:p>
    <w:p w:rsidR="00674ACE" w:rsidRDefault="00674ACE">
      <w:pPr>
        <w:pStyle w:val="BodyText2"/>
        <w:rPr>
          <w:rFonts w:ascii="Arial" w:hAnsi="Arial"/>
          <w:sz w:val="22"/>
        </w:rPr>
      </w:pPr>
    </w:p>
    <w:p w:rsidR="00674ACE" w:rsidRDefault="00EC7CED">
      <w:pPr>
        <w:pStyle w:val="BodyText2"/>
        <w:numPr>
          <w:ilvl w:val="0"/>
          <w:numId w:val="10"/>
        </w:numPr>
        <w:rPr>
          <w:rFonts w:ascii="Arial" w:hAnsi="Arial"/>
          <w:sz w:val="22"/>
        </w:rPr>
      </w:pPr>
      <w:r>
        <w:rPr>
          <w:rFonts w:ascii="Arial" w:hAnsi="Arial"/>
          <w:b/>
          <w:sz w:val="22"/>
        </w:rPr>
        <w:t xml:space="preserve">Provisioning codes in the NPAC: </w:t>
      </w:r>
      <w:r>
        <w:rPr>
          <w:rFonts w:ascii="Arial" w:hAnsi="Arial"/>
          <w:sz w:val="22"/>
        </w:rPr>
        <w:t xml:space="preserve"> </w:t>
      </w:r>
    </w:p>
    <w:p w:rsidR="00674ACE" w:rsidRDefault="00674ACE">
      <w:pPr>
        <w:pStyle w:val="BodyText2"/>
        <w:rPr>
          <w:rFonts w:ascii="Arial" w:hAnsi="Arial"/>
          <w:sz w:val="22"/>
        </w:rPr>
      </w:pPr>
    </w:p>
    <w:p w:rsidR="00674ACE" w:rsidRDefault="00EC7CED">
      <w:pPr>
        <w:pStyle w:val="BodyText2"/>
        <w:ind w:firstLine="720"/>
        <w:rPr>
          <w:rFonts w:ascii="Arial" w:hAnsi="Arial"/>
          <w:sz w:val="22"/>
        </w:rPr>
      </w:pPr>
      <w:r>
        <w:rPr>
          <w:rFonts w:ascii="Arial" w:hAnsi="Arial"/>
          <w:sz w:val="22"/>
        </w:rPr>
        <w:t xml:space="preserve">a.   At a minimum the only way carriers have to know of valid NPA NXX’s for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porting</w:t>
      </w:r>
      <w:proofErr w:type="gramEnd"/>
      <w:r>
        <w:rPr>
          <w:rFonts w:ascii="Arial" w:hAnsi="Arial"/>
          <w:sz w:val="22"/>
        </w:rPr>
        <w:t xml:space="preserve"> is if they are provisioned in the NPAC Administrative views. For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automated</w:t>
      </w:r>
      <w:proofErr w:type="gramEnd"/>
      <w:r>
        <w:rPr>
          <w:rFonts w:ascii="Arial" w:hAnsi="Arial"/>
          <w:sz w:val="22"/>
        </w:rPr>
        <w:t xml:space="preserve"> carriers the port validation check would likely indicate the NPA </w:t>
      </w:r>
    </w:p>
    <w:p w:rsidR="00674ACE" w:rsidRDefault="00EC7CED">
      <w:pPr>
        <w:pStyle w:val="BodyText2"/>
        <w:ind w:firstLine="720"/>
        <w:rPr>
          <w:rFonts w:ascii="Arial" w:hAnsi="Arial"/>
          <w:sz w:val="22"/>
        </w:rPr>
      </w:pPr>
      <w:r>
        <w:rPr>
          <w:rFonts w:ascii="Arial" w:hAnsi="Arial"/>
          <w:sz w:val="22"/>
        </w:rPr>
        <w:t xml:space="preserve">     NXX is not provisioned and signal a troubleshooting process to occur. This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means</w:t>
      </w:r>
      <w:proofErr w:type="gramEnd"/>
      <w:r>
        <w:rPr>
          <w:rFonts w:ascii="Arial" w:hAnsi="Arial"/>
          <w:sz w:val="22"/>
        </w:rPr>
        <w:t xml:space="preserve"> every port of this type would require trouble resolution and longer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porting</w:t>
      </w:r>
      <w:proofErr w:type="gramEnd"/>
      <w:r>
        <w:rPr>
          <w:rFonts w:ascii="Arial" w:hAnsi="Arial"/>
          <w:sz w:val="22"/>
        </w:rPr>
        <w:t xml:space="preserve"> times than are necessary when the provisioning of the NPA NXX could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be</w:t>
      </w:r>
      <w:proofErr w:type="gramEnd"/>
      <w:r>
        <w:rPr>
          <w:rFonts w:ascii="Arial" w:hAnsi="Arial"/>
          <w:sz w:val="22"/>
        </w:rPr>
        <w:t xml:space="preserve"> done in advance. </w:t>
      </w:r>
    </w:p>
    <w:p w:rsidR="00674ACE" w:rsidRDefault="00674ACE">
      <w:pPr>
        <w:pStyle w:val="BodyText2"/>
        <w:ind w:firstLine="720"/>
        <w:rPr>
          <w:rFonts w:ascii="Arial" w:hAnsi="Arial"/>
          <w:sz w:val="22"/>
        </w:rPr>
      </w:pPr>
    </w:p>
    <w:p w:rsidR="00674ACE" w:rsidRDefault="00EC7CED">
      <w:pPr>
        <w:pStyle w:val="BodyText2"/>
        <w:ind w:firstLine="720"/>
        <w:rPr>
          <w:rFonts w:ascii="Arial" w:hAnsi="Arial"/>
          <w:sz w:val="22"/>
        </w:rPr>
      </w:pPr>
      <w:proofErr w:type="gramStart"/>
      <w:r>
        <w:rPr>
          <w:rFonts w:ascii="Arial" w:hAnsi="Arial"/>
          <w:sz w:val="22"/>
        </w:rPr>
        <w:t>b.  While</w:t>
      </w:r>
      <w:proofErr w:type="gramEnd"/>
      <w:r>
        <w:rPr>
          <w:rFonts w:ascii="Arial" w:hAnsi="Arial"/>
          <w:sz w:val="22"/>
        </w:rPr>
        <w:t xml:space="preserve"> the manual low-tech carrier could complete the port in the 2.5 hour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timeframe</w:t>
      </w:r>
      <w:proofErr w:type="gramEnd"/>
      <w:r>
        <w:rPr>
          <w:rFonts w:ascii="Arial" w:hAnsi="Arial"/>
          <w:sz w:val="22"/>
        </w:rPr>
        <w:t xml:space="preserve">, many large carriers could not due to a 2 day turn around for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updated</w:t>
      </w:r>
      <w:proofErr w:type="gramEnd"/>
      <w:r>
        <w:rPr>
          <w:rFonts w:ascii="Arial" w:hAnsi="Arial"/>
          <w:sz w:val="22"/>
        </w:rPr>
        <w:t xml:space="preserve"> NPA NXX files to download from the NPAC to clearinghouse vendors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and</w:t>
      </w:r>
      <w:proofErr w:type="gramEnd"/>
      <w:r>
        <w:rPr>
          <w:rFonts w:ascii="Arial" w:hAnsi="Arial"/>
          <w:sz w:val="22"/>
        </w:rPr>
        <w:t xml:space="preserve"> then from clearinghouse vendors to carriers.  </w:t>
      </w:r>
    </w:p>
    <w:p w:rsidR="00674ACE" w:rsidRDefault="00EC7CED">
      <w:pPr>
        <w:pStyle w:val="BodyText2"/>
        <w:rPr>
          <w:rFonts w:ascii="Arial" w:hAnsi="Arial"/>
          <w:sz w:val="22"/>
        </w:rPr>
      </w:pPr>
      <w:r>
        <w:rPr>
          <w:rFonts w:ascii="Arial" w:hAnsi="Arial"/>
          <w:sz w:val="22"/>
        </w:rPr>
        <w:t xml:space="preserve">            c. It is not realistic for larger carriers to manually update IT tables that feed POS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systems</w:t>
      </w:r>
      <w:proofErr w:type="gramEnd"/>
      <w:r>
        <w:rPr>
          <w:rFonts w:ascii="Arial" w:hAnsi="Arial"/>
          <w:sz w:val="22"/>
        </w:rPr>
        <w:t xml:space="preserve"> for each low-tech port request received.  In addition, manual updates </w:t>
      </w:r>
    </w:p>
    <w:p w:rsidR="00674ACE" w:rsidRDefault="00EC7CED">
      <w:pPr>
        <w:pStyle w:val="BodyText2"/>
        <w:ind w:firstLine="720"/>
        <w:rPr>
          <w:rFonts w:ascii="Arial" w:hAnsi="Arial"/>
          <w:sz w:val="22"/>
        </w:rPr>
      </w:pPr>
      <w:r>
        <w:rPr>
          <w:rFonts w:ascii="Arial" w:hAnsi="Arial"/>
          <w:sz w:val="22"/>
        </w:rPr>
        <w:t xml:space="preserve">    </w:t>
      </w:r>
      <w:proofErr w:type="gramStart"/>
      <w:r>
        <w:rPr>
          <w:rFonts w:ascii="Arial" w:hAnsi="Arial"/>
          <w:sz w:val="22"/>
        </w:rPr>
        <w:t>could</w:t>
      </w:r>
      <w:proofErr w:type="gramEnd"/>
      <w:r>
        <w:rPr>
          <w:rFonts w:ascii="Arial" w:hAnsi="Arial"/>
          <w:sz w:val="22"/>
        </w:rPr>
        <w:t xml:space="preserve"> be reversed by the daily download with vendors.  </w:t>
      </w:r>
    </w:p>
    <w:p w:rsidR="00674ACE" w:rsidRDefault="00674ACE">
      <w:pPr>
        <w:pStyle w:val="BodyText2"/>
      </w:pPr>
    </w:p>
    <w:p w:rsidR="00674ACE" w:rsidRDefault="00EC7CED">
      <w:pPr>
        <w:pStyle w:val="BodyText2"/>
        <w:rPr>
          <w:b/>
        </w:rPr>
      </w:pPr>
      <w:r>
        <w:rPr>
          <w:b/>
        </w:rPr>
        <w:t xml:space="preserve">2.  </w:t>
      </w:r>
      <w:r>
        <w:rPr>
          <w:rFonts w:ascii="Arial" w:hAnsi="Arial"/>
          <w:b/>
          <w:sz w:val="22"/>
        </w:rPr>
        <w:t xml:space="preserve">Opening codes in the </w:t>
      </w:r>
      <w:r>
        <w:rPr>
          <w:b/>
        </w:rPr>
        <w:t>Telcordia LERG</w:t>
      </w:r>
      <w:r>
        <w:rPr>
          <w:b/>
          <w:vertAlign w:val="superscript"/>
        </w:rPr>
        <w:t>TM</w:t>
      </w:r>
      <w:r>
        <w:rPr>
          <w:b/>
        </w:rPr>
        <w:t xml:space="preserve"> Routing Guide</w:t>
      </w:r>
      <w:r>
        <w:rPr>
          <w:rFonts w:ascii="Arial" w:hAnsi="Arial"/>
          <w:b/>
          <w:sz w:val="22"/>
        </w:rPr>
        <w:t xml:space="preserve">: </w:t>
      </w:r>
      <w:r>
        <w:rPr>
          <w:rFonts w:ascii="Arial" w:hAnsi="Arial"/>
          <w:sz w:val="22"/>
        </w:rPr>
        <w:t xml:space="preserve"> </w:t>
      </w:r>
    </w:p>
    <w:p w:rsidR="00674ACE" w:rsidRDefault="00674ACE">
      <w:pPr>
        <w:pStyle w:val="BodyText2"/>
      </w:pPr>
    </w:p>
    <w:p w:rsidR="00674ACE" w:rsidRDefault="00EC7CED">
      <w:pPr>
        <w:pStyle w:val="BodyText2"/>
        <w:rPr>
          <w:rFonts w:ascii="Arial" w:hAnsi="Arial"/>
          <w:sz w:val="22"/>
        </w:rPr>
      </w:pPr>
      <w:r>
        <w:tab/>
      </w:r>
      <w:proofErr w:type="gramStart"/>
      <w:r>
        <w:rPr>
          <w:rFonts w:ascii="Arial" w:hAnsi="Arial"/>
          <w:sz w:val="22"/>
        </w:rPr>
        <w:t>a.  Technically</w:t>
      </w:r>
      <w:proofErr w:type="gramEnd"/>
      <w:r>
        <w:rPr>
          <w:rFonts w:ascii="Arial" w:hAnsi="Arial"/>
          <w:sz w:val="22"/>
        </w:rPr>
        <w:t xml:space="preserve"> a carrier can allow a port to occur when it is not marked portable </w:t>
      </w:r>
    </w:p>
    <w:p w:rsidR="00674ACE" w:rsidRDefault="00EC7CED">
      <w:pPr>
        <w:pStyle w:val="BodyText2"/>
        <w:rPr>
          <w:rFonts w:ascii="Arial" w:hAnsi="Arial"/>
          <w:sz w:val="22"/>
        </w:rPr>
      </w:pPr>
      <w:r>
        <w:rPr>
          <w:rFonts w:ascii="Arial" w:hAnsi="Arial"/>
          <w:sz w:val="22"/>
        </w:rPr>
        <w:t xml:space="preserve">    </w:t>
      </w:r>
      <w:r>
        <w:rPr>
          <w:rFonts w:ascii="Arial" w:hAnsi="Arial"/>
          <w:sz w:val="22"/>
        </w:rPr>
        <w:tab/>
        <w:t xml:space="preserve">     </w:t>
      </w:r>
      <w:proofErr w:type="gramStart"/>
      <w:r>
        <w:rPr>
          <w:rFonts w:ascii="Arial" w:hAnsi="Arial"/>
          <w:sz w:val="22"/>
        </w:rPr>
        <w:t>at</w:t>
      </w:r>
      <w:proofErr w:type="gramEnd"/>
      <w:r>
        <w:rPr>
          <w:rFonts w:ascii="Arial" w:hAnsi="Arial"/>
          <w:sz w:val="22"/>
        </w:rPr>
        <w:t xml:space="preserve"> the </w:t>
      </w:r>
      <w:r>
        <w:t>Telcordia LERG</w:t>
      </w:r>
      <w:r>
        <w:rPr>
          <w:vertAlign w:val="superscript"/>
        </w:rPr>
        <w:t>TM</w:t>
      </w:r>
      <w:r>
        <w:t xml:space="preserve"> Routing Guide</w:t>
      </w:r>
      <w:r>
        <w:rPr>
          <w:rFonts w:ascii="Arial" w:hAnsi="Arial"/>
          <w:sz w:val="22"/>
        </w:rPr>
        <w:t xml:space="preserve">.  However this opens up risks that </w:t>
      </w:r>
    </w:p>
    <w:p w:rsidR="00674ACE" w:rsidRDefault="00EC7CED">
      <w:pPr>
        <w:pStyle w:val="BodyText2"/>
        <w:rPr>
          <w:rFonts w:ascii="Arial" w:hAnsi="Arial"/>
          <w:sz w:val="22"/>
        </w:rPr>
      </w:pPr>
      <w:r>
        <w:rPr>
          <w:rFonts w:ascii="Arial" w:hAnsi="Arial"/>
          <w:sz w:val="22"/>
        </w:rPr>
        <w:t xml:space="preserve"> </w:t>
      </w:r>
      <w:r>
        <w:rPr>
          <w:rFonts w:ascii="Arial" w:hAnsi="Arial"/>
          <w:sz w:val="22"/>
        </w:rPr>
        <w:tab/>
        <w:t xml:space="preserve">     </w:t>
      </w:r>
      <w:proofErr w:type="gramStart"/>
      <w:r>
        <w:rPr>
          <w:rFonts w:ascii="Arial" w:hAnsi="Arial"/>
          <w:sz w:val="22"/>
        </w:rPr>
        <w:t>customer</w:t>
      </w:r>
      <w:proofErr w:type="gramEnd"/>
      <w:r>
        <w:rPr>
          <w:rFonts w:ascii="Arial" w:hAnsi="Arial"/>
          <w:sz w:val="22"/>
        </w:rPr>
        <w:t xml:space="preserve"> may experience call routing issues. Calls from other carriers may</w:t>
      </w:r>
    </w:p>
    <w:p w:rsidR="00674ACE" w:rsidRDefault="00EC7CED">
      <w:pPr>
        <w:pStyle w:val="BodyText2"/>
      </w:pPr>
      <w:r>
        <w:rPr>
          <w:rFonts w:ascii="Arial" w:hAnsi="Arial"/>
          <w:sz w:val="22"/>
        </w:rPr>
        <w:t xml:space="preserve">                 </w:t>
      </w:r>
      <w:proofErr w:type="gramStart"/>
      <w:r>
        <w:rPr>
          <w:rFonts w:ascii="Arial" w:hAnsi="Arial"/>
          <w:sz w:val="22"/>
        </w:rPr>
        <w:t>not</w:t>
      </w:r>
      <w:proofErr w:type="gramEnd"/>
      <w:r>
        <w:rPr>
          <w:rFonts w:ascii="Arial" w:hAnsi="Arial"/>
          <w:sz w:val="22"/>
        </w:rPr>
        <w:t xml:space="preserve"> complete because they base their LNP trigger tables on the </w:t>
      </w:r>
      <w:r>
        <w:t>Telcordia</w:t>
      </w:r>
    </w:p>
    <w:p w:rsidR="00674ACE" w:rsidRDefault="00EC7CED">
      <w:pPr>
        <w:pStyle w:val="BodyText2"/>
        <w:rPr>
          <w:rFonts w:ascii="Arial" w:hAnsi="Arial"/>
          <w:sz w:val="22"/>
        </w:rPr>
      </w:pPr>
      <w:r>
        <w:t xml:space="preserve">                 LERG</w:t>
      </w:r>
      <w:r>
        <w:rPr>
          <w:vertAlign w:val="superscript"/>
        </w:rPr>
        <w:t>TM</w:t>
      </w:r>
      <w:r>
        <w:t xml:space="preserve"> Routing Guide</w:t>
      </w:r>
      <w:r>
        <w:rPr>
          <w:rFonts w:ascii="Arial" w:hAnsi="Arial"/>
          <w:sz w:val="22"/>
        </w:rPr>
        <w:t>. This will generate Network trouble tickets.  In short, it</w:t>
      </w:r>
    </w:p>
    <w:p w:rsidR="00674ACE" w:rsidRDefault="00EC7CED">
      <w:pPr>
        <w:pStyle w:val="BodyText2"/>
        <w:rPr>
          <w:rFonts w:ascii="Arial" w:hAnsi="Arial"/>
          <w:sz w:val="22"/>
        </w:rPr>
      </w:pPr>
      <w:r>
        <w:rPr>
          <w:rFonts w:ascii="Arial" w:hAnsi="Arial"/>
          <w:sz w:val="22"/>
        </w:rPr>
        <w:t xml:space="preserve">                 </w:t>
      </w:r>
      <w:proofErr w:type="gramStart"/>
      <w:r>
        <w:rPr>
          <w:rFonts w:ascii="Arial" w:hAnsi="Arial"/>
          <w:sz w:val="22"/>
        </w:rPr>
        <w:t>is</w:t>
      </w:r>
      <w:proofErr w:type="gramEnd"/>
      <w:r>
        <w:rPr>
          <w:rFonts w:ascii="Arial" w:hAnsi="Arial"/>
          <w:sz w:val="22"/>
        </w:rPr>
        <w:t xml:space="preserve"> possible all carriers who may be involved in call routing may not know the</w:t>
      </w:r>
    </w:p>
    <w:p w:rsidR="00674ACE" w:rsidRDefault="00EC7CED">
      <w:pPr>
        <w:pStyle w:val="BodyText2"/>
        <w:rPr>
          <w:rFonts w:ascii="Arial" w:hAnsi="Arial"/>
          <w:sz w:val="22"/>
        </w:rPr>
      </w:pPr>
      <w:r>
        <w:rPr>
          <w:rFonts w:ascii="Arial" w:hAnsi="Arial"/>
          <w:sz w:val="22"/>
        </w:rPr>
        <w:t xml:space="preserve">                 </w:t>
      </w:r>
      <w:proofErr w:type="gramStart"/>
      <w:r>
        <w:rPr>
          <w:rFonts w:ascii="Arial" w:hAnsi="Arial"/>
          <w:sz w:val="22"/>
        </w:rPr>
        <w:t>port</w:t>
      </w:r>
      <w:proofErr w:type="gramEnd"/>
      <w:r>
        <w:rPr>
          <w:rFonts w:ascii="Arial" w:hAnsi="Arial"/>
          <w:sz w:val="22"/>
        </w:rPr>
        <w:t xml:space="preserve"> has occurred for that MDN.  </w:t>
      </w:r>
    </w:p>
    <w:p w:rsidR="00674ACE" w:rsidRDefault="00674ACE">
      <w:pPr>
        <w:pStyle w:val="BodyText2"/>
        <w:ind w:firstLine="720"/>
        <w:rPr>
          <w:rFonts w:ascii="Arial" w:hAnsi="Arial"/>
          <w:sz w:val="22"/>
        </w:rPr>
      </w:pPr>
    </w:p>
    <w:p w:rsidR="00674ACE" w:rsidRDefault="00EC7CED">
      <w:pPr>
        <w:pStyle w:val="BodyText2"/>
        <w:ind w:firstLine="720"/>
        <w:rPr>
          <w:rFonts w:ascii="Arial" w:hAnsi="Arial"/>
          <w:sz w:val="22"/>
        </w:rPr>
      </w:pPr>
      <w:r>
        <w:rPr>
          <w:rFonts w:ascii="Arial" w:hAnsi="Arial"/>
          <w:sz w:val="22"/>
        </w:rPr>
        <w:t xml:space="preserve">b.   Customer’s perception of call routing issues may be that it is the new carrier’s </w:t>
      </w:r>
    </w:p>
    <w:p w:rsidR="00674ACE" w:rsidRDefault="00EC7CED">
      <w:pPr>
        <w:pStyle w:val="BodyText2"/>
        <w:ind w:firstLine="720"/>
        <w:rPr>
          <w:rFonts w:ascii="Arial" w:hAnsi="Arial"/>
          <w:sz w:val="22"/>
        </w:rPr>
      </w:pPr>
      <w:r>
        <w:rPr>
          <w:rFonts w:ascii="Arial" w:hAnsi="Arial"/>
          <w:sz w:val="22"/>
        </w:rPr>
        <w:t xml:space="preserve">      Network that is the cause of call routing issues where in reality it is the OSP.  </w:t>
      </w:r>
    </w:p>
    <w:p w:rsidR="00674ACE" w:rsidRDefault="00674ACE">
      <w:pPr>
        <w:pStyle w:val="BodyText2"/>
        <w:rPr>
          <w:rFonts w:ascii="Arial" w:hAnsi="Arial"/>
          <w:sz w:val="22"/>
        </w:rPr>
      </w:pPr>
    </w:p>
    <w:p w:rsidR="00674ACE" w:rsidRDefault="00EC7CED">
      <w:pPr>
        <w:pStyle w:val="BodyText2"/>
        <w:numPr>
          <w:ilvl w:val="0"/>
          <w:numId w:val="4"/>
        </w:numPr>
        <w:rPr>
          <w:rFonts w:ascii="Arial" w:hAnsi="Arial"/>
          <w:sz w:val="22"/>
        </w:rPr>
      </w:pPr>
      <w:r>
        <w:rPr>
          <w:rFonts w:ascii="Arial" w:hAnsi="Arial"/>
          <w:b/>
          <w:sz w:val="22"/>
        </w:rPr>
        <w:t>Frequency of Occurrence:</w:t>
      </w:r>
      <w:r>
        <w:rPr>
          <w:rFonts w:ascii="Arial" w:hAnsi="Arial"/>
          <w:sz w:val="22"/>
        </w:rPr>
        <w:t xml:space="preserve">  </w:t>
      </w:r>
    </w:p>
    <w:p w:rsidR="00674ACE" w:rsidRDefault="00674ACE">
      <w:pPr>
        <w:pStyle w:val="BodyText2"/>
        <w:rPr>
          <w:rFonts w:ascii="Arial" w:hAnsi="Arial"/>
          <w:sz w:val="22"/>
        </w:rPr>
      </w:pPr>
    </w:p>
    <w:p w:rsidR="00674ACE" w:rsidRDefault="00EC7CED">
      <w:pPr>
        <w:pStyle w:val="BodyText2"/>
        <w:rPr>
          <w:rFonts w:ascii="Arial" w:hAnsi="Arial"/>
          <w:sz w:val="22"/>
        </w:rPr>
      </w:pPr>
      <w:r>
        <w:rPr>
          <w:rFonts w:ascii="Arial" w:hAnsi="Arial"/>
          <w:sz w:val="22"/>
        </w:rPr>
        <w:t xml:space="preserve">            For all three scenarios the issues would occur for each port by the low-tech </w:t>
      </w:r>
    </w:p>
    <w:p w:rsidR="00674ACE" w:rsidRDefault="00EC7CED">
      <w:pPr>
        <w:pStyle w:val="BodyText2"/>
        <w:rPr>
          <w:rFonts w:ascii="Arial" w:hAnsi="Arial"/>
          <w:sz w:val="22"/>
        </w:rPr>
      </w:pPr>
      <w:r>
        <w:rPr>
          <w:rFonts w:ascii="Arial" w:hAnsi="Arial"/>
          <w:sz w:val="22"/>
        </w:rPr>
        <w:t xml:space="preserve">            </w:t>
      </w:r>
      <w:proofErr w:type="gramStart"/>
      <w:r>
        <w:rPr>
          <w:rFonts w:ascii="Arial" w:hAnsi="Arial"/>
          <w:sz w:val="22"/>
        </w:rPr>
        <w:t>carrier</w:t>
      </w:r>
      <w:proofErr w:type="gramEnd"/>
      <w:r>
        <w:rPr>
          <w:rFonts w:ascii="Arial" w:hAnsi="Arial"/>
          <w:sz w:val="22"/>
        </w:rPr>
        <w:t xml:space="preserve"> to another automated carrier. </w:t>
      </w:r>
    </w:p>
    <w:p w:rsidR="00674ACE" w:rsidRDefault="00674ACE">
      <w:pPr>
        <w:rPr>
          <w:rFonts w:ascii="Arial" w:hAnsi="Arial"/>
          <w:sz w:val="22"/>
        </w:rPr>
      </w:pPr>
    </w:p>
    <w:p w:rsidR="00674ACE" w:rsidRDefault="00674ACE">
      <w:pPr>
        <w:rPr>
          <w:rFonts w:ascii="Arial" w:hAnsi="Arial"/>
          <w:sz w:val="22"/>
        </w:rPr>
      </w:pPr>
    </w:p>
    <w:p w:rsidR="00674ACE" w:rsidRDefault="00EC7CED">
      <w:pPr>
        <w:pStyle w:val="BodyText2"/>
        <w:rPr>
          <w:rFonts w:ascii="Arial" w:hAnsi="Arial"/>
          <w:sz w:val="22"/>
        </w:rPr>
      </w:pPr>
      <w:r>
        <w:rPr>
          <w:rFonts w:ascii="Arial" w:hAnsi="Arial"/>
          <w:b/>
          <w:sz w:val="22"/>
        </w:rPr>
        <w:t>NPAC Regions Impacted</w:t>
      </w:r>
      <w:r>
        <w:rPr>
          <w:rFonts w:ascii="Arial" w:hAnsi="Arial"/>
          <w:sz w:val="22"/>
        </w:rPr>
        <w:t>: All</w:t>
      </w:r>
    </w:p>
    <w:p w:rsidR="00674ACE" w:rsidRDefault="00674ACE">
      <w:pPr>
        <w:rPr>
          <w:rFonts w:ascii="Arial" w:hAnsi="Arial"/>
          <w:sz w:val="22"/>
        </w:rPr>
      </w:pPr>
    </w:p>
    <w:p w:rsidR="00674ACE" w:rsidRDefault="00674ACE">
      <w:pPr>
        <w:rPr>
          <w:rFonts w:ascii="Arial" w:hAnsi="Arial"/>
          <w:sz w:val="22"/>
        </w:rPr>
      </w:pPr>
    </w:p>
    <w:p w:rsidR="00674ACE" w:rsidRDefault="00EC7CED">
      <w:pPr>
        <w:pStyle w:val="BodyText2"/>
        <w:numPr>
          <w:ilvl w:val="0"/>
          <w:numId w:val="1"/>
        </w:numPr>
        <w:rPr>
          <w:rFonts w:ascii="Arial" w:hAnsi="Arial"/>
          <w:sz w:val="22"/>
        </w:rPr>
      </w:pPr>
      <w:r>
        <w:rPr>
          <w:rFonts w:ascii="Arial" w:hAnsi="Arial"/>
          <w:b/>
          <w:sz w:val="22"/>
        </w:rPr>
        <w:t>Rationale why existing process is deficient:</w:t>
      </w:r>
      <w:r>
        <w:rPr>
          <w:rFonts w:ascii="Arial" w:hAnsi="Arial"/>
          <w:sz w:val="22"/>
        </w:rPr>
        <w:t xml:space="preserve">  </w:t>
      </w:r>
    </w:p>
    <w:p w:rsidR="00674ACE" w:rsidRDefault="00674ACE">
      <w:pPr>
        <w:pStyle w:val="BodyText2"/>
        <w:rPr>
          <w:rFonts w:ascii="Arial" w:hAnsi="Arial"/>
          <w:sz w:val="22"/>
        </w:rPr>
      </w:pPr>
    </w:p>
    <w:p w:rsidR="00674ACE" w:rsidRDefault="00EC7CED">
      <w:pPr>
        <w:pStyle w:val="BodyText2"/>
        <w:numPr>
          <w:ilvl w:val="0"/>
          <w:numId w:val="1"/>
        </w:numPr>
        <w:rPr>
          <w:rFonts w:ascii="Arial" w:hAnsi="Arial"/>
          <w:sz w:val="22"/>
        </w:rPr>
      </w:pPr>
      <w:proofErr w:type="spellStart"/>
      <w:proofErr w:type="gramStart"/>
      <w:r>
        <w:rPr>
          <w:rFonts w:ascii="Arial" w:hAnsi="Arial"/>
          <w:sz w:val="22"/>
        </w:rPr>
        <w:lastRenderedPageBreak/>
        <w:t>Carrier’s</w:t>
      </w:r>
      <w:proofErr w:type="spellEnd"/>
      <w:proofErr w:type="gramEnd"/>
      <w:r>
        <w:rPr>
          <w:rFonts w:ascii="Arial" w:hAnsi="Arial"/>
          <w:sz w:val="22"/>
        </w:rPr>
        <w:t xml:space="preserve"> are not using industry standard processes already created based on NANC documented requirements. These standards must be employed to resolve the above issues. </w:t>
      </w:r>
    </w:p>
    <w:p w:rsidR="00674ACE" w:rsidRDefault="00674ACE">
      <w:pPr>
        <w:rPr>
          <w:rFonts w:ascii="Arial" w:hAnsi="Arial"/>
          <w:sz w:val="22"/>
        </w:rPr>
      </w:pPr>
    </w:p>
    <w:p w:rsidR="00674ACE" w:rsidRDefault="00674ACE">
      <w:pPr>
        <w:rPr>
          <w:rFonts w:ascii="Arial" w:hAnsi="Arial"/>
          <w:sz w:val="22"/>
        </w:rPr>
      </w:pPr>
    </w:p>
    <w:p w:rsidR="00674ACE" w:rsidRDefault="00EC7CED">
      <w:pPr>
        <w:pStyle w:val="BodyText2"/>
        <w:rPr>
          <w:rFonts w:ascii="Arial" w:hAnsi="Arial"/>
          <w:sz w:val="22"/>
        </w:rPr>
      </w:pPr>
      <w:r>
        <w:rPr>
          <w:rFonts w:ascii="Arial" w:hAnsi="Arial"/>
          <w:b/>
          <w:sz w:val="22"/>
        </w:rPr>
        <w:t xml:space="preserve">Identify action taken in other committees / forums: </w:t>
      </w:r>
      <w:r>
        <w:rPr>
          <w:rFonts w:ascii="Arial" w:hAnsi="Arial"/>
          <w:sz w:val="22"/>
        </w:rPr>
        <w:t xml:space="preserve">Issues were raised on CTIA calls. </w:t>
      </w:r>
    </w:p>
    <w:p w:rsidR="00674ACE" w:rsidRDefault="00674ACE">
      <w:pPr>
        <w:rPr>
          <w:rFonts w:ascii="Arial" w:hAnsi="Arial"/>
          <w:sz w:val="22"/>
        </w:rPr>
      </w:pP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numPr>
          <w:ilvl w:val="0"/>
          <w:numId w:val="2"/>
        </w:num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Suggested Resolution:</w:t>
      </w:r>
      <w:r>
        <w:rPr>
          <w:rFonts w:ascii="Arial" w:hAnsi="Arial"/>
          <w:sz w:val="22"/>
        </w:rPr>
        <w:t xml:space="preserve"> </w:t>
      </w: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The North American Numbering Council, Wireless Number Portability Subcommittee Report on WIRELESS NUMBER PORTABILITY Technical, Operational and Implementation Requirements Phase II version 1.7 documents the process for opening codes in the </w:t>
      </w:r>
      <w:r>
        <w:rPr>
          <w:sz w:val="24"/>
        </w:rPr>
        <w:t>Telcordia LERG</w:t>
      </w:r>
      <w:r>
        <w:rPr>
          <w:sz w:val="24"/>
          <w:vertAlign w:val="superscript"/>
        </w:rPr>
        <w:t>TM</w:t>
      </w:r>
      <w:r>
        <w:rPr>
          <w:sz w:val="24"/>
        </w:rPr>
        <w:t xml:space="preserve"> Routing Guide</w:t>
      </w:r>
      <w:r>
        <w:rPr>
          <w:rFonts w:ascii="Arial" w:hAnsi="Arial"/>
          <w:sz w:val="22"/>
        </w:rPr>
        <w:t xml:space="preserve"> and the NPAC in section 5.4.3 as follows:</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5.4.3 Opening NPA NXXs for Porting</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“A SP will need to make sure NPA-NXXs that need to be opened for porting are marked as portable in the </w:t>
      </w:r>
      <w:r>
        <w:rPr>
          <w:sz w:val="24"/>
        </w:rPr>
        <w:t>Telcordia LERG</w:t>
      </w:r>
      <w:r>
        <w:rPr>
          <w:sz w:val="24"/>
          <w:vertAlign w:val="superscript"/>
        </w:rPr>
        <w:t>TM</w:t>
      </w:r>
      <w:r>
        <w:rPr>
          <w:sz w:val="24"/>
        </w:rPr>
        <w:t xml:space="preserve"> Routing Guide</w:t>
      </w:r>
      <w:r>
        <w:rPr>
          <w:rFonts w:ascii="Arial" w:hAnsi="Arial"/>
          <w:sz w:val="22"/>
        </w:rPr>
        <w:t xml:space="preserve">.  The code opening process must occur before processing any subscriber requests for porting numbers from a portable NPA-NXX.  The process steps are as follows: </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Individual SPs identify the NPA-NXXs targeted for porting and forward a </w:t>
      </w:r>
      <w:proofErr w:type="gramStart"/>
      <w:r>
        <w:rPr>
          <w:rFonts w:ascii="Arial" w:hAnsi="Arial"/>
          <w:sz w:val="22"/>
        </w:rPr>
        <w:t>request  to</w:t>
      </w:r>
      <w:proofErr w:type="gramEnd"/>
      <w:r>
        <w:rPr>
          <w:rFonts w:ascii="Arial" w:hAnsi="Arial"/>
          <w:sz w:val="22"/>
        </w:rPr>
        <w:t xml:space="preserve"> the </w:t>
      </w:r>
      <w:r>
        <w:rPr>
          <w:sz w:val="24"/>
        </w:rPr>
        <w:t>Telcordia LERG</w:t>
      </w:r>
      <w:r>
        <w:rPr>
          <w:sz w:val="24"/>
          <w:vertAlign w:val="superscript"/>
        </w:rPr>
        <w:t>TM</w:t>
      </w:r>
      <w:r>
        <w:rPr>
          <w:sz w:val="24"/>
        </w:rPr>
        <w:t xml:space="preserve"> Routing Guide</w:t>
      </w:r>
      <w:r>
        <w:rPr>
          <w:rFonts w:ascii="Arial" w:hAnsi="Arial"/>
          <w:sz w:val="22"/>
        </w:rPr>
        <w:t xml:space="preserve"> assignee (code holder) of the NPA-NXXs. Notification must occur by the 15</w:t>
      </w:r>
      <w:r>
        <w:rPr>
          <w:rFonts w:ascii="Arial" w:hAnsi="Arial"/>
          <w:sz w:val="22"/>
          <w:vertAlign w:val="superscript"/>
        </w:rPr>
        <w:t>th</w:t>
      </w:r>
      <w:r>
        <w:rPr>
          <w:rFonts w:ascii="Arial" w:hAnsi="Arial"/>
          <w:sz w:val="22"/>
        </w:rPr>
        <w:t xml:space="preserve"> of the month for portability information to be included in the next </w:t>
      </w:r>
      <w:r>
        <w:rPr>
          <w:sz w:val="24"/>
        </w:rPr>
        <w:t>Telcordia LERG</w:t>
      </w:r>
      <w:r>
        <w:rPr>
          <w:sz w:val="24"/>
          <w:vertAlign w:val="superscript"/>
        </w:rPr>
        <w:t>TM</w:t>
      </w:r>
      <w:r>
        <w:rPr>
          <w:sz w:val="24"/>
        </w:rPr>
        <w:t xml:space="preserve"> Routing Guide</w:t>
      </w:r>
      <w:r>
        <w:rPr>
          <w:rFonts w:ascii="Arial" w:hAnsi="Arial"/>
          <w:sz w:val="22"/>
        </w:rPr>
        <w:t xml:space="preserve"> update. </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lastRenderedPageBreak/>
        <w:t xml:space="preserve">The code holder must respond to the SPs within five business days, indicating whether the NPA-NXX can be processed. The code holder then notifies the </w:t>
      </w:r>
      <w:r>
        <w:rPr>
          <w:sz w:val="24"/>
        </w:rPr>
        <w:t>Telcordia LERG</w:t>
      </w:r>
      <w:r>
        <w:rPr>
          <w:sz w:val="24"/>
          <w:vertAlign w:val="superscript"/>
        </w:rPr>
        <w:t>TM</w:t>
      </w:r>
      <w:r>
        <w:rPr>
          <w:sz w:val="24"/>
        </w:rPr>
        <w:t xml:space="preserve"> Routing Guide</w:t>
      </w:r>
      <w:r>
        <w:rPr>
          <w:rFonts w:ascii="Arial" w:hAnsi="Arial"/>
          <w:sz w:val="22"/>
        </w:rPr>
        <w:t xml:space="preserve"> to open the NPA-NXXs, 45 days before the date when porting needs to be effective (if the request cannot be processed, the holder must note the reasons in the response).</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The </w:t>
      </w:r>
      <w:r>
        <w:rPr>
          <w:sz w:val="24"/>
        </w:rPr>
        <w:t>Telcordia LERG</w:t>
      </w:r>
      <w:r>
        <w:rPr>
          <w:sz w:val="24"/>
          <w:vertAlign w:val="superscript"/>
        </w:rPr>
        <w:t>TM</w:t>
      </w:r>
      <w:r>
        <w:rPr>
          <w:sz w:val="24"/>
        </w:rPr>
        <w:t xml:space="preserve"> Routing Guide</w:t>
      </w:r>
      <w:r>
        <w:rPr>
          <w:rFonts w:ascii="Arial" w:hAnsi="Arial"/>
          <w:sz w:val="22"/>
        </w:rPr>
        <w:t xml:space="preserve"> publishes notification of the NPA-NXX with the effective date, i.e. the date that the NPA-NXX is available for LNP in the NPAC customer networks. </w:t>
      </w:r>
      <w:r>
        <w:rPr>
          <w:sz w:val="24"/>
        </w:rPr>
        <w:t>Telcordia LERG</w:t>
      </w:r>
      <w:r>
        <w:rPr>
          <w:sz w:val="24"/>
          <w:vertAlign w:val="superscript"/>
        </w:rPr>
        <w:t>TM</w:t>
      </w:r>
      <w:r>
        <w:rPr>
          <w:sz w:val="24"/>
        </w:rPr>
        <w:t xml:space="preserve"> Routing Guide</w:t>
      </w:r>
      <w:r>
        <w:rPr>
          <w:rFonts w:ascii="Arial" w:hAnsi="Arial"/>
          <w:sz w:val="22"/>
        </w:rPr>
        <w:t xml:space="preserve"> updates are published by the fifth business day of the month. Emergency updates can also be sent out daily.</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SPs and N-1 service providers update GTT information in their individual networks for all appropriate services. GTT updating must occur within 45 business days of </w:t>
      </w:r>
      <w:r>
        <w:rPr>
          <w:sz w:val="24"/>
        </w:rPr>
        <w:t>Telcordia LERG</w:t>
      </w:r>
      <w:r>
        <w:rPr>
          <w:sz w:val="24"/>
          <w:vertAlign w:val="superscript"/>
        </w:rPr>
        <w:t>TM</w:t>
      </w:r>
      <w:r>
        <w:rPr>
          <w:sz w:val="24"/>
        </w:rPr>
        <w:t xml:space="preserve"> Routing Guide</w:t>
      </w:r>
      <w:r>
        <w:rPr>
          <w:rFonts w:ascii="Arial" w:hAnsi="Arial"/>
          <w:sz w:val="22"/>
        </w:rPr>
        <w:t xml:space="preserve"> publication.</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Code holders notify the NPAC of NPA-NXXs to be opened for porting.  This should occur within 45 days of the </w:t>
      </w:r>
      <w:r>
        <w:rPr>
          <w:sz w:val="24"/>
        </w:rPr>
        <w:t>Telcordia LERG</w:t>
      </w:r>
      <w:r>
        <w:rPr>
          <w:sz w:val="24"/>
          <w:vertAlign w:val="superscript"/>
        </w:rPr>
        <w:t>TM</w:t>
      </w:r>
      <w:r>
        <w:rPr>
          <w:sz w:val="24"/>
        </w:rPr>
        <w:t xml:space="preserve"> Routing Guide</w:t>
      </w:r>
      <w:r>
        <w:rPr>
          <w:rFonts w:ascii="Arial" w:hAnsi="Arial"/>
          <w:sz w:val="22"/>
        </w:rPr>
        <w:t xml:space="preserve"> publication.  The SP must notify NPAC personnel via fax or email, preferably 2 weeks in advance, NPA-NXXs available for porting and their effective dates.  If a SP chooses, they can input their NPA-NXX information directly in to the NPAC SMS via the LSMS, SOA, or LTI. </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The NPAC updates its SP and network information.  It then informs all SPs about the availability of the NPA-NXXs for porting via the NPAC SMS to LSMS and SOA to NPAC SMS interfaces. The portable NPA-NXXs and their effective dates are posted on the npac.com web site.</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For porting the first ported number in a newly opened NPA-NXX, upon receipt of the first Subscription Version (SV), the NPAC broadcasts a message to all LSMSs and SOAs. </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color w:val="000000"/>
          <w:sz w:val="22"/>
        </w:rPr>
      </w:pPr>
      <w:r>
        <w:rPr>
          <w:rFonts w:ascii="Arial" w:hAnsi="Arial"/>
          <w:sz w:val="22"/>
        </w:rPr>
        <w:t xml:space="preserve">Upon receipt of the message, SPs should open routing tables and set triggers in donor switches, LNP-capable tandems and LNP-capable offices in all networks. </w:t>
      </w:r>
      <w:r>
        <w:rPr>
          <w:rFonts w:ascii="Arial" w:hAnsi="Arial"/>
          <w:color w:val="000000"/>
          <w:sz w:val="22"/>
        </w:rPr>
        <w:t xml:space="preserve"> “</w:t>
      </w:r>
    </w:p>
    <w:p w:rsidR="00674ACE" w:rsidRDefault="00674ACE">
      <w:pPr>
        <w:pBdr>
          <w:top w:val="single" w:sz="4" w:space="1" w:color="auto"/>
          <w:left w:val="single" w:sz="4" w:space="4" w:color="auto"/>
          <w:bottom w:val="single" w:sz="4" w:space="1" w:color="auto"/>
          <w:right w:val="single" w:sz="4" w:space="4" w:color="auto"/>
        </w:pBdr>
        <w:rPr>
          <w:rFonts w:ascii="Arial" w:hAnsi="Arial"/>
          <w:color w:val="000000"/>
          <w:sz w:val="22"/>
        </w:rPr>
      </w:pPr>
    </w:p>
    <w:p w:rsidR="00674ACE" w:rsidRDefault="00EC7CED">
      <w:pPr>
        <w:pBdr>
          <w:top w:val="single" w:sz="4" w:space="1" w:color="auto"/>
          <w:left w:val="single" w:sz="4" w:space="4" w:color="auto"/>
          <w:bottom w:val="single" w:sz="4" w:space="1" w:color="auto"/>
          <w:right w:val="single" w:sz="4" w:space="4" w:color="auto"/>
        </w:pBdr>
        <w:rPr>
          <w:rFonts w:ascii="Arial" w:hAnsi="Arial"/>
          <w:color w:val="000000"/>
          <w:sz w:val="22"/>
        </w:rPr>
      </w:pPr>
      <w:r>
        <w:rPr>
          <w:rFonts w:ascii="Arial" w:hAnsi="Arial"/>
          <w:color w:val="000000"/>
          <w:sz w:val="22"/>
        </w:rPr>
        <w:t xml:space="preserve">The LNPA WG supports the above mentioned process for marking codes portable in the </w:t>
      </w:r>
      <w:r>
        <w:rPr>
          <w:sz w:val="24"/>
        </w:rPr>
        <w:t>Telcordia LERG</w:t>
      </w:r>
      <w:r>
        <w:rPr>
          <w:sz w:val="24"/>
          <w:vertAlign w:val="superscript"/>
        </w:rPr>
        <w:t>TM</w:t>
      </w:r>
      <w:r>
        <w:rPr>
          <w:sz w:val="24"/>
        </w:rPr>
        <w:t xml:space="preserve"> Routing Guide</w:t>
      </w:r>
      <w:r>
        <w:rPr>
          <w:rFonts w:ascii="Arial" w:hAnsi="Arial"/>
          <w:color w:val="000000"/>
          <w:sz w:val="22"/>
        </w:rPr>
        <w:t xml:space="preserve"> and opening codes in the NPAC.</w:t>
      </w:r>
    </w:p>
    <w:p w:rsidR="00674ACE" w:rsidRDefault="00674ACE">
      <w:pPr>
        <w:pBdr>
          <w:top w:val="single" w:sz="4" w:space="1" w:color="auto"/>
          <w:left w:val="single" w:sz="4" w:space="4" w:color="auto"/>
          <w:bottom w:val="single" w:sz="4" w:space="1" w:color="auto"/>
          <w:right w:val="single" w:sz="4" w:space="4" w:color="auto"/>
        </w:pBdr>
        <w:rPr>
          <w:rFonts w:ascii="Arial" w:hAnsi="Arial"/>
          <w:sz w:val="22"/>
        </w:rPr>
      </w:pPr>
    </w:p>
    <w:p w:rsidR="00674ACE" w:rsidRDefault="00674ACE">
      <w:pPr>
        <w:rPr>
          <w:sz w:val="18"/>
        </w:rPr>
      </w:pPr>
    </w:p>
    <w:p w:rsidR="00F52EEC" w:rsidRPr="00EE728F" w:rsidRDefault="00F52EEC" w:rsidP="00F52EEC">
      <w:pPr>
        <w:pStyle w:val="ListParagraph"/>
        <w:numPr>
          <w:ilvl w:val="0"/>
          <w:numId w:val="2"/>
        </w:numPr>
      </w:pPr>
      <w:r w:rsidRPr="009469C7">
        <w:rPr>
          <w:b/>
        </w:rPr>
        <w:t>Final Resolution:</w:t>
      </w:r>
    </w:p>
    <w:p w:rsidR="00F52EEC" w:rsidRPr="00EE728F" w:rsidRDefault="00F52EEC" w:rsidP="00F52EEC">
      <w:pPr>
        <w:ind w:left="360"/>
      </w:pPr>
    </w:p>
    <w:p w:rsidR="00F52EEC" w:rsidRPr="00EE728F" w:rsidRDefault="000256AF" w:rsidP="00F52EEC">
      <w:pPr>
        <w:pBdr>
          <w:top w:val="single" w:sz="4" w:space="1" w:color="auto"/>
          <w:left w:val="single" w:sz="4" w:space="18" w:color="auto"/>
          <w:bottom w:val="single" w:sz="4" w:space="1" w:color="auto"/>
          <w:right w:val="single" w:sz="4" w:space="4" w:color="auto"/>
          <w:bar w:val="single" w:sz="4" w:color="auto"/>
        </w:pBdr>
        <w:ind w:left="270"/>
      </w:pPr>
      <w:r w:rsidRPr="000256AF">
        <w:t>WIRELESS NUMBER PORTABILITY Technical, Operational and Implementation Requirements Phase II, Version 1.7 as reported to the NANC, w</w:t>
      </w:r>
      <w:r>
        <w:t>ill serve to resolve this PIM.</w:t>
      </w:r>
      <w:r w:rsidR="00F52EEC">
        <w:t xml:space="preserve"> </w:t>
      </w:r>
    </w:p>
    <w:p w:rsidR="00674ACE" w:rsidRDefault="00674ACE">
      <w:pPr>
        <w:pStyle w:val="BodyText3"/>
        <w:pBdr>
          <w:top w:val="none" w:sz="0" w:space="0" w:color="auto"/>
          <w:left w:val="none" w:sz="0" w:space="0" w:color="auto"/>
          <w:bottom w:val="none" w:sz="0" w:space="0" w:color="auto"/>
          <w:right w:val="none" w:sz="0" w:space="0" w:color="auto"/>
        </w:pBdr>
        <w:rPr>
          <w:rFonts w:ascii="Arial" w:hAnsi="Arial"/>
          <w:sz w:val="22"/>
        </w:rPr>
      </w:pPr>
    </w:p>
    <w:p w:rsidR="00674ACE" w:rsidRDefault="00674ACE">
      <w:pPr>
        <w:rPr>
          <w:rFonts w:ascii="Arial" w:hAnsi="Arial"/>
          <w:sz w:val="22"/>
        </w:rPr>
      </w:pPr>
    </w:p>
    <w:p w:rsidR="00674ACE" w:rsidRDefault="00EC7CED">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b/>
          <w:sz w:val="22"/>
          <w:u w:val="single"/>
        </w:rPr>
        <w:lastRenderedPageBreak/>
        <w:t>LNPA WG:</w:t>
      </w:r>
      <w:r>
        <w:rPr>
          <w:rFonts w:ascii="Arial" w:hAnsi="Arial"/>
          <w:sz w:val="22"/>
        </w:rPr>
        <w:t xml:space="preserve"> (only)</w:t>
      </w:r>
      <w:r w:rsidR="00F52EEC">
        <w:rPr>
          <w:rFonts w:ascii="Arial" w:hAnsi="Arial"/>
          <w:sz w:val="22"/>
        </w:rPr>
        <w:tab/>
      </w:r>
      <w:r w:rsidR="00F52EEC">
        <w:rPr>
          <w:rFonts w:ascii="Arial" w:hAnsi="Arial"/>
          <w:sz w:val="22"/>
        </w:rPr>
        <w:tab/>
      </w:r>
      <w:r w:rsidR="00F52EEC">
        <w:rPr>
          <w:rFonts w:ascii="Arial" w:hAnsi="Arial"/>
          <w:sz w:val="22"/>
        </w:rPr>
        <w:tab/>
      </w:r>
      <w:r w:rsidR="00F52EEC">
        <w:rPr>
          <w:rFonts w:ascii="Arial" w:hAnsi="Arial"/>
          <w:sz w:val="22"/>
        </w:rPr>
        <w:tab/>
        <w:t>Final Resolution Date:</w:t>
      </w:r>
      <w:r w:rsidR="000256AF">
        <w:rPr>
          <w:rFonts w:ascii="Arial" w:hAnsi="Arial"/>
          <w:sz w:val="22"/>
        </w:rPr>
        <w:t xml:space="preserve"> 9/8/2004</w:t>
      </w:r>
    </w:p>
    <w:p w:rsidR="00674ACE" w:rsidRDefault="00EC7CED">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Item Number: 0040 v</w:t>
      </w:r>
      <w:r w:rsidR="00F52EEC">
        <w:rPr>
          <w:rFonts w:ascii="Arial" w:hAnsi="Arial"/>
          <w:sz w:val="22"/>
        </w:rPr>
        <w:t>5</w:t>
      </w:r>
      <w:r>
        <w:rPr>
          <w:rFonts w:ascii="Arial" w:hAnsi="Arial"/>
          <w:sz w:val="22"/>
        </w:rPr>
        <w:tab/>
      </w:r>
      <w:r w:rsidR="00F52EEC">
        <w:rPr>
          <w:rFonts w:ascii="Arial" w:hAnsi="Arial"/>
          <w:sz w:val="22"/>
        </w:rPr>
        <w:tab/>
      </w:r>
      <w:r w:rsidR="00F52EEC">
        <w:rPr>
          <w:rFonts w:ascii="Arial" w:hAnsi="Arial"/>
          <w:sz w:val="22"/>
        </w:rPr>
        <w:tab/>
        <w:t>Related Documents:</w:t>
      </w:r>
    </w:p>
    <w:p w:rsidR="00674ACE" w:rsidRDefault="00EC7CED">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Issue Resolution Referred to: _________________________________________________________</w:t>
      </w:r>
    </w:p>
    <w:p w:rsidR="00674ACE" w:rsidRDefault="00EC7CED">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Why Issue Referred: __________________________________________________________________ ____________________________________________________________________________________________________________________________________________________________________________</w:t>
      </w:r>
    </w:p>
    <w:sectPr w:rsidR="00674ACE">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CE" w:rsidRDefault="00EC7CED">
      <w:r>
        <w:separator/>
      </w:r>
    </w:p>
  </w:endnote>
  <w:endnote w:type="continuationSeparator" w:id="0">
    <w:p w:rsidR="00674ACE" w:rsidRDefault="00EC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CE" w:rsidRDefault="00EC7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4ACE" w:rsidRDefault="00674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CE" w:rsidRDefault="00EC7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D0E">
      <w:rPr>
        <w:rStyle w:val="PageNumber"/>
        <w:noProof/>
      </w:rPr>
      <w:t>4</w:t>
    </w:r>
    <w:r>
      <w:rPr>
        <w:rStyle w:val="PageNumber"/>
      </w:rPr>
      <w:fldChar w:fldCharType="end"/>
    </w:r>
  </w:p>
  <w:p w:rsidR="00674ACE" w:rsidRDefault="0067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CE" w:rsidRDefault="00EC7CED">
      <w:r>
        <w:separator/>
      </w:r>
    </w:p>
  </w:footnote>
  <w:footnote w:type="continuationSeparator" w:id="0">
    <w:p w:rsidR="00674ACE" w:rsidRDefault="00EC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CE" w:rsidRDefault="00EC7CED">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0F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E050EF4"/>
    <w:multiLevelType w:val="hybridMultilevel"/>
    <w:tmpl w:val="D722C86A"/>
    <w:lvl w:ilvl="0" w:tplc="D89A4EC6">
      <w:start w:val="1"/>
      <w:numFmt w:val="decimal"/>
      <w:lvlText w:val="%1."/>
      <w:lvlJc w:val="left"/>
      <w:pPr>
        <w:tabs>
          <w:tab w:val="num" w:pos="720"/>
        </w:tabs>
        <w:ind w:left="720" w:hanging="360"/>
      </w:pPr>
    </w:lvl>
    <w:lvl w:ilvl="1" w:tplc="558AE48E" w:tentative="1">
      <w:start w:val="1"/>
      <w:numFmt w:val="lowerLetter"/>
      <w:lvlText w:val="%2."/>
      <w:lvlJc w:val="left"/>
      <w:pPr>
        <w:tabs>
          <w:tab w:val="num" w:pos="1440"/>
        </w:tabs>
        <w:ind w:left="1440" w:hanging="360"/>
      </w:pPr>
    </w:lvl>
    <w:lvl w:ilvl="2" w:tplc="B740904C" w:tentative="1">
      <w:start w:val="1"/>
      <w:numFmt w:val="lowerRoman"/>
      <w:lvlText w:val="%3."/>
      <w:lvlJc w:val="right"/>
      <w:pPr>
        <w:tabs>
          <w:tab w:val="num" w:pos="2160"/>
        </w:tabs>
        <w:ind w:left="2160" w:hanging="180"/>
      </w:pPr>
    </w:lvl>
    <w:lvl w:ilvl="3" w:tplc="4DDE93E2" w:tentative="1">
      <w:start w:val="1"/>
      <w:numFmt w:val="decimal"/>
      <w:lvlText w:val="%4."/>
      <w:lvlJc w:val="left"/>
      <w:pPr>
        <w:tabs>
          <w:tab w:val="num" w:pos="2880"/>
        </w:tabs>
        <w:ind w:left="2880" w:hanging="360"/>
      </w:pPr>
    </w:lvl>
    <w:lvl w:ilvl="4" w:tplc="C84CAA06" w:tentative="1">
      <w:start w:val="1"/>
      <w:numFmt w:val="lowerLetter"/>
      <w:lvlText w:val="%5."/>
      <w:lvlJc w:val="left"/>
      <w:pPr>
        <w:tabs>
          <w:tab w:val="num" w:pos="3600"/>
        </w:tabs>
        <w:ind w:left="3600" w:hanging="360"/>
      </w:pPr>
    </w:lvl>
    <w:lvl w:ilvl="5" w:tplc="3FAAED94" w:tentative="1">
      <w:start w:val="1"/>
      <w:numFmt w:val="lowerRoman"/>
      <w:lvlText w:val="%6."/>
      <w:lvlJc w:val="right"/>
      <w:pPr>
        <w:tabs>
          <w:tab w:val="num" w:pos="4320"/>
        </w:tabs>
        <w:ind w:left="4320" w:hanging="180"/>
      </w:pPr>
    </w:lvl>
    <w:lvl w:ilvl="6" w:tplc="0FCED878" w:tentative="1">
      <w:start w:val="1"/>
      <w:numFmt w:val="decimal"/>
      <w:lvlText w:val="%7."/>
      <w:lvlJc w:val="left"/>
      <w:pPr>
        <w:tabs>
          <w:tab w:val="num" w:pos="5040"/>
        </w:tabs>
        <w:ind w:left="5040" w:hanging="360"/>
      </w:pPr>
    </w:lvl>
    <w:lvl w:ilvl="7" w:tplc="EF44859A" w:tentative="1">
      <w:start w:val="1"/>
      <w:numFmt w:val="lowerLetter"/>
      <w:lvlText w:val="%8."/>
      <w:lvlJc w:val="left"/>
      <w:pPr>
        <w:tabs>
          <w:tab w:val="num" w:pos="5760"/>
        </w:tabs>
        <w:ind w:left="5760" w:hanging="360"/>
      </w:pPr>
    </w:lvl>
    <w:lvl w:ilvl="8" w:tplc="EB360906" w:tentative="1">
      <w:start w:val="1"/>
      <w:numFmt w:val="lowerRoman"/>
      <w:lvlText w:val="%9."/>
      <w:lvlJc w:val="right"/>
      <w:pPr>
        <w:tabs>
          <w:tab w:val="num" w:pos="6480"/>
        </w:tabs>
        <w:ind w:left="6480" w:hanging="180"/>
      </w:pPr>
    </w:lvl>
  </w:abstractNum>
  <w:abstractNum w:abstractNumId="2" w15:restartNumberingAfterBreak="0">
    <w:nsid w:val="0E092BA2"/>
    <w:multiLevelType w:val="hybridMultilevel"/>
    <w:tmpl w:val="6422F7D0"/>
    <w:lvl w:ilvl="0" w:tplc="EA16FA00">
      <w:start w:val="1"/>
      <w:numFmt w:val="decimal"/>
      <w:lvlText w:val="%1."/>
      <w:lvlJc w:val="left"/>
      <w:pPr>
        <w:tabs>
          <w:tab w:val="num" w:pos="360"/>
        </w:tabs>
        <w:ind w:left="360" w:hanging="360"/>
      </w:pPr>
      <w:rPr>
        <w:rFonts w:hint="default"/>
        <w:b/>
        <w:sz w:val="24"/>
      </w:rPr>
    </w:lvl>
    <w:lvl w:ilvl="1" w:tplc="57942396" w:tentative="1">
      <w:start w:val="1"/>
      <w:numFmt w:val="lowerLetter"/>
      <w:lvlText w:val="%2."/>
      <w:lvlJc w:val="left"/>
      <w:pPr>
        <w:tabs>
          <w:tab w:val="num" w:pos="1440"/>
        </w:tabs>
        <w:ind w:left="1440" w:hanging="360"/>
      </w:pPr>
    </w:lvl>
    <w:lvl w:ilvl="2" w:tplc="A01CE186" w:tentative="1">
      <w:start w:val="1"/>
      <w:numFmt w:val="lowerRoman"/>
      <w:lvlText w:val="%3."/>
      <w:lvlJc w:val="right"/>
      <w:pPr>
        <w:tabs>
          <w:tab w:val="num" w:pos="2160"/>
        </w:tabs>
        <w:ind w:left="2160" w:hanging="180"/>
      </w:pPr>
    </w:lvl>
    <w:lvl w:ilvl="3" w:tplc="71A43394" w:tentative="1">
      <w:start w:val="1"/>
      <w:numFmt w:val="decimal"/>
      <w:lvlText w:val="%4."/>
      <w:lvlJc w:val="left"/>
      <w:pPr>
        <w:tabs>
          <w:tab w:val="num" w:pos="2880"/>
        </w:tabs>
        <w:ind w:left="2880" w:hanging="360"/>
      </w:pPr>
    </w:lvl>
    <w:lvl w:ilvl="4" w:tplc="1D9E78D6" w:tentative="1">
      <w:start w:val="1"/>
      <w:numFmt w:val="lowerLetter"/>
      <w:lvlText w:val="%5."/>
      <w:lvlJc w:val="left"/>
      <w:pPr>
        <w:tabs>
          <w:tab w:val="num" w:pos="3600"/>
        </w:tabs>
        <w:ind w:left="3600" w:hanging="360"/>
      </w:pPr>
    </w:lvl>
    <w:lvl w:ilvl="5" w:tplc="4AD67EF2" w:tentative="1">
      <w:start w:val="1"/>
      <w:numFmt w:val="lowerRoman"/>
      <w:lvlText w:val="%6."/>
      <w:lvlJc w:val="right"/>
      <w:pPr>
        <w:tabs>
          <w:tab w:val="num" w:pos="4320"/>
        </w:tabs>
        <w:ind w:left="4320" w:hanging="180"/>
      </w:pPr>
    </w:lvl>
    <w:lvl w:ilvl="6" w:tplc="91E81ABC" w:tentative="1">
      <w:start w:val="1"/>
      <w:numFmt w:val="decimal"/>
      <w:lvlText w:val="%7."/>
      <w:lvlJc w:val="left"/>
      <w:pPr>
        <w:tabs>
          <w:tab w:val="num" w:pos="5040"/>
        </w:tabs>
        <w:ind w:left="5040" w:hanging="360"/>
      </w:pPr>
    </w:lvl>
    <w:lvl w:ilvl="7" w:tplc="0EB47D86" w:tentative="1">
      <w:start w:val="1"/>
      <w:numFmt w:val="lowerLetter"/>
      <w:lvlText w:val="%8."/>
      <w:lvlJc w:val="left"/>
      <w:pPr>
        <w:tabs>
          <w:tab w:val="num" w:pos="5760"/>
        </w:tabs>
        <w:ind w:left="5760" w:hanging="360"/>
      </w:pPr>
    </w:lvl>
    <w:lvl w:ilvl="8" w:tplc="E3ACCF6A" w:tentative="1">
      <w:start w:val="1"/>
      <w:numFmt w:val="lowerRoman"/>
      <w:lvlText w:val="%9."/>
      <w:lvlJc w:val="right"/>
      <w:pPr>
        <w:tabs>
          <w:tab w:val="num" w:pos="6480"/>
        </w:tabs>
        <w:ind w:left="6480" w:hanging="180"/>
      </w:pPr>
    </w:lvl>
  </w:abstractNum>
  <w:abstractNum w:abstractNumId="3" w15:restartNumberingAfterBreak="0">
    <w:nsid w:val="10AA701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5" w15:restartNumberingAfterBreak="0">
    <w:nsid w:val="22137E1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2908513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345B3FE7"/>
    <w:multiLevelType w:val="hybridMultilevel"/>
    <w:tmpl w:val="7108D8C0"/>
    <w:lvl w:ilvl="0" w:tplc="009A5FD8">
      <w:start w:val="1"/>
      <w:numFmt w:val="decimal"/>
      <w:lvlText w:val="%1."/>
      <w:lvlJc w:val="left"/>
      <w:pPr>
        <w:tabs>
          <w:tab w:val="num" w:pos="720"/>
        </w:tabs>
        <w:ind w:left="720" w:hanging="360"/>
      </w:pPr>
    </w:lvl>
    <w:lvl w:ilvl="1" w:tplc="7390D5CC" w:tentative="1">
      <w:start w:val="1"/>
      <w:numFmt w:val="lowerLetter"/>
      <w:lvlText w:val="%2."/>
      <w:lvlJc w:val="left"/>
      <w:pPr>
        <w:tabs>
          <w:tab w:val="num" w:pos="1440"/>
        </w:tabs>
        <w:ind w:left="1440" w:hanging="360"/>
      </w:pPr>
    </w:lvl>
    <w:lvl w:ilvl="2" w:tplc="9F0874EA" w:tentative="1">
      <w:start w:val="1"/>
      <w:numFmt w:val="lowerRoman"/>
      <w:lvlText w:val="%3."/>
      <w:lvlJc w:val="right"/>
      <w:pPr>
        <w:tabs>
          <w:tab w:val="num" w:pos="2160"/>
        </w:tabs>
        <w:ind w:left="2160" w:hanging="180"/>
      </w:pPr>
    </w:lvl>
    <w:lvl w:ilvl="3" w:tplc="B6E03F3E" w:tentative="1">
      <w:start w:val="1"/>
      <w:numFmt w:val="decimal"/>
      <w:lvlText w:val="%4."/>
      <w:lvlJc w:val="left"/>
      <w:pPr>
        <w:tabs>
          <w:tab w:val="num" w:pos="2880"/>
        </w:tabs>
        <w:ind w:left="2880" w:hanging="360"/>
      </w:pPr>
    </w:lvl>
    <w:lvl w:ilvl="4" w:tplc="9E607A1A" w:tentative="1">
      <w:start w:val="1"/>
      <w:numFmt w:val="lowerLetter"/>
      <w:lvlText w:val="%5."/>
      <w:lvlJc w:val="left"/>
      <w:pPr>
        <w:tabs>
          <w:tab w:val="num" w:pos="3600"/>
        </w:tabs>
        <w:ind w:left="3600" w:hanging="360"/>
      </w:pPr>
    </w:lvl>
    <w:lvl w:ilvl="5" w:tplc="B8FAD014" w:tentative="1">
      <w:start w:val="1"/>
      <w:numFmt w:val="lowerRoman"/>
      <w:lvlText w:val="%6."/>
      <w:lvlJc w:val="right"/>
      <w:pPr>
        <w:tabs>
          <w:tab w:val="num" w:pos="4320"/>
        </w:tabs>
        <w:ind w:left="4320" w:hanging="180"/>
      </w:pPr>
    </w:lvl>
    <w:lvl w:ilvl="6" w:tplc="5066D4FC" w:tentative="1">
      <w:start w:val="1"/>
      <w:numFmt w:val="decimal"/>
      <w:lvlText w:val="%7."/>
      <w:lvlJc w:val="left"/>
      <w:pPr>
        <w:tabs>
          <w:tab w:val="num" w:pos="5040"/>
        </w:tabs>
        <w:ind w:left="5040" w:hanging="360"/>
      </w:pPr>
    </w:lvl>
    <w:lvl w:ilvl="7" w:tplc="658C0E6A" w:tentative="1">
      <w:start w:val="1"/>
      <w:numFmt w:val="lowerLetter"/>
      <w:lvlText w:val="%8."/>
      <w:lvlJc w:val="left"/>
      <w:pPr>
        <w:tabs>
          <w:tab w:val="num" w:pos="5760"/>
        </w:tabs>
        <w:ind w:left="5760" w:hanging="360"/>
      </w:pPr>
    </w:lvl>
    <w:lvl w:ilvl="8" w:tplc="5322B8CA" w:tentative="1">
      <w:start w:val="1"/>
      <w:numFmt w:val="lowerRoman"/>
      <w:lvlText w:val="%9."/>
      <w:lvlJc w:val="right"/>
      <w:pPr>
        <w:tabs>
          <w:tab w:val="num" w:pos="6480"/>
        </w:tabs>
        <w:ind w:left="6480" w:hanging="180"/>
      </w:pPr>
    </w:lvl>
  </w:abstractNum>
  <w:abstractNum w:abstractNumId="8" w15:restartNumberingAfterBreak="0">
    <w:nsid w:val="34C65097"/>
    <w:multiLevelType w:val="hybridMultilevel"/>
    <w:tmpl w:val="EB7CB7E2"/>
    <w:lvl w:ilvl="0" w:tplc="7F38FA1A">
      <w:start w:val="1"/>
      <w:numFmt w:val="bullet"/>
      <w:lvlText w:val="o"/>
      <w:lvlJc w:val="left"/>
      <w:pPr>
        <w:tabs>
          <w:tab w:val="num" w:pos="720"/>
        </w:tabs>
        <w:ind w:left="720" w:hanging="360"/>
      </w:pPr>
      <w:rPr>
        <w:rFonts w:ascii="Courier New" w:hAnsi="Courier New" w:hint="default"/>
      </w:rPr>
    </w:lvl>
    <w:lvl w:ilvl="1" w:tplc="6B8EC820" w:tentative="1">
      <w:start w:val="1"/>
      <w:numFmt w:val="bullet"/>
      <w:lvlText w:val="o"/>
      <w:lvlJc w:val="left"/>
      <w:pPr>
        <w:tabs>
          <w:tab w:val="num" w:pos="1440"/>
        </w:tabs>
        <w:ind w:left="1440" w:hanging="360"/>
      </w:pPr>
      <w:rPr>
        <w:rFonts w:ascii="Courier New" w:hAnsi="Courier New" w:hint="default"/>
      </w:rPr>
    </w:lvl>
    <w:lvl w:ilvl="2" w:tplc="1C3A1EA4" w:tentative="1">
      <w:start w:val="1"/>
      <w:numFmt w:val="bullet"/>
      <w:lvlText w:val=""/>
      <w:lvlJc w:val="left"/>
      <w:pPr>
        <w:tabs>
          <w:tab w:val="num" w:pos="2160"/>
        </w:tabs>
        <w:ind w:left="2160" w:hanging="360"/>
      </w:pPr>
      <w:rPr>
        <w:rFonts w:ascii="Wingdings" w:hAnsi="Wingdings" w:hint="default"/>
      </w:rPr>
    </w:lvl>
    <w:lvl w:ilvl="3" w:tplc="EC784C60" w:tentative="1">
      <w:start w:val="1"/>
      <w:numFmt w:val="bullet"/>
      <w:lvlText w:val=""/>
      <w:lvlJc w:val="left"/>
      <w:pPr>
        <w:tabs>
          <w:tab w:val="num" w:pos="2880"/>
        </w:tabs>
        <w:ind w:left="2880" w:hanging="360"/>
      </w:pPr>
      <w:rPr>
        <w:rFonts w:ascii="Symbol" w:hAnsi="Symbol" w:hint="default"/>
      </w:rPr>
    </w:lvl>
    <w:lvl w:ilvl="4" w:tplc="79205612" w:tentative="1">
      <w:start w:val="1"/>
      <w:numFmt w:val="bullet"/>
      <w:lvlText w:val="o"/>
      <w:lvlJc w:val="left"/>
      <w:pPr>
        <w:tabs>
          <w:tab w:val="num" w:pos="3600"/>
        </w:tabs>
        <w:ind w:left="3600" w:hanging="360"/>
      </w:pPr>
      <w:rPr>
        <w:rFonts w:ascii="Courier New" w:hAnsi="Courier New" w:hint="default"/>
      </w:rPr>
    </w:lvl>
    <w:lvl w:ilvl="5" w:tplc="55809CD0" w:tentative="1">
      <w:start w:val="1"/>
      <w:numFmt w:val="bullet"/>
      <w:lvlText w:val=""/>
      <w:lvlJc w:val="left"/>
      <w:pPr>
        <w:tabs>
          <w:tab w:val="num" w:pos="4320"/>
        </w:tabs>
        <w:ind w:left="4320" w:hanging="360"/>
      </w:pPr>
      <w:rPr>
        <w:rFonts w:ascii="Wingdings" w:hAnsi="Wingdings" w:hint="default"/>
      </w:rPr>
    </w:lvl>
    <w:lvl w:ilvl="6" w:tplc="51409500" w:tentative="1">
      <w:start w:val="1"/>
      <w:numFmt w:val="bullet"/>
      <w:lvlText w:val=""/>
      <w:lvlJc w:val="left"/>
      <w:pPr>
        <w:tabs>
          <w:tab w:val="num" w:pos="5040"/>
        </w:tabs>
        <w:ind w:left="5040" w:hanging="360"/>
      </w:pPr>
      <w:rPr>
        <w:rFonts w:ascii="Symbol" w:hAnsi="Symbol" w:hint="default"/>
      </w:rPr>
    </w:lvl>
    <w:lvl w:ilvl="7" w:tplc="C9428E04" w:tentative="1">
      <w:start w:val="1"/>
      <w:numFmt w:val="bullet"/>
      <w:lvlText w:val="o"/>
      <w:lvlJc w:val="left"/>
      <w:pPr>
        <w:tabs>
          <w:tab w:val="num" w:pos="5760"/>
        </w:tabs>
        <w:ind w:left="5760" w:hanging="360"/>
      </w:pPr>
      <w:rPr>
        <w:rFonts w:ascii="Courier New" w:hAnsi="Courier New" w:hint="default"/>
      </w:rPr>
    </w:lvl>
    <w:lvl w:ilvl="8" w:tplc="BBC057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C5C74"/>
    <w:multiLevelType w:val="hybridMultilevel"/>
    <w:tmpl w:val="3CCE02F8"/>
    <w:lvl w:ilvl="0" w:tplc="44B8C55E">
      <w:start w:val="1"/>
      <w:numFmt w:val="decimal"/>
      <w:lvlText w:val="%1."/>
      <w:lvlJc w:val="left"/>
      <w:pPr>
        <w:tabs>
          <w:tab w:val="num" w:pos="1080"/>
        </w:tabs>
        <w:ind w:left="1080" w:hanging="360"/>
      </w:pPr>
      <w:rPr>
        <w:rFonts w:hint="default"/>
      </w:rPr>
    </w:lvl>
    <w:lvl w:ilvl="1" w:tplc="3BD83428">
      <w:start w:val="1"/>
      <w:numFmt w:val="bullet"/>
      <w:lvlText w:val="o"/>
      <w:lvlJc w:val="left"/>
      <w:pPr>
        <w:tabs>
          <w:tab w:val="num" w:pos="1800"/>
        </w:tabs>
        <w:ind w:left="1800" w:hanging="360"/>
      </w:pPr>
      <w:rPr>
        <w:rFonts w:ascii="Courier New" w:hAnsi="Courier New" w:cs="Courier New" w:hint="default"/>
      </w:rPr>
    </w:lvl>
    <w:lvl w:ilvl="2" w:tplc="38BE448C">
      <w:start w:val="1"/>
      <w:numFmt w:val="bullet"/>
      <w:lvlText w:val=""/>
      <w:lvlJc w:val="left"/>
      <w:pPr>
        <w:tabs>
          <w:tab w:val="num" w:pos="2520"/>
        </w:tabs>
        <w:ind w:left="2520" w:hanging="360"/>
      </w:pPr>
      <w:rPr>
        <w:rFonts w:ascii="Wingdings" w:hAnsi="Wingdings" w:hint="default"/>
      </w:rPr>
    </w:lvl>
    <w:lvl w:ilvl="3" w:tplc="02E8F0E8" w:tentative="1">
      <w:start w:val="1"/>
      <w:numFmt w:val="bullet"/>
      <w:lvlText w:val=""/>
      <w:lvlJc w:val="left"/>
      <w:pPr>
        <w:tabs>
          <w:tab w:val="num" w:pos="3240"/>
        </w:tabs>
        <w:ind w:left="3240" w:hanging="360"/>
      </w:pPr>
      <w:rPr>
        <w:rFonts w:ascii="Symbol" w:hAnsi="Symbol" w:hint="default"/>
      </w:rPr>
    </w:lvl>
    <w:lvl w:ilvl="4" w:tplc="8B22427E" w:tentative="1">
      <w:start w:val="1"/>
      <w:numFmt w:val="bullet"/>
      <w:lvlText w:val="o"/>
      <w:lvlJc w:val="left"/>
      <w:pPr>
        <w:tabs>
          <w:tab w:val="num" w:pos="3960"/>
        </w:tabs>
        <w:ind w:left="3960" w:hanging="360"/>
      </w:pPr>
      <w:rPr>
        <w:rFonts w:ascii="Courier New" w:hAnsi="Courier New" w:cs="Courier New" w:hint="default"/>
      </w:rPr>
    </w:lvl>
    <w:lvl w:ilvl="5" w:tplc="4F32A848" w:tentative="1">
      <w:start w:val="1"/>
      <w:numFmt w:val="bullet"/>
      <w:lvlText w:val=""/>
      <w:lvlJc w:val="left"/>
      <w:pPr>
        <w:tabs>
          <w:tab w:val="num" w:pos="4680"/>
        </w:tabs>
        <w:ind w:left="4680" w:hanging="360"/>
      </w:pPr>
      <w:rPr>
        <w:rFonts w:ascii="Wingdings" w:hAnsi="Wingdings" w:hint="default"/>
      </w:rPr>
    </w:lvl>
    <w:lvl w:ilvl="6" w:tplc="63648F70" w:tentative="1">
      <w:start w:val="1"/>
      <w:numFmt w:val="bullet"/>
      <w:lvlText w:val=""/>
      <w:lvlJc w:val="left"/>
      <w:pPr>
        <w:tabs>
          <w:tab w:val="num" w:pos="5400"/>
        </w:tabs>
        <w:ind w:left="5400" w:hanging="360"/>
      </w:pPr>
      <w:rPr>
        <w:rFonts w:ascii="Symbol" w:hAnsi="Symbol" w:hint="default"/>
      </w:rPr>
    </w:lvl>
    <w:lvl w:ilvl="7" w:tplc="281622B0" w:tentative="1">
      <w:start w:val="1"/>
      <w:numFmt w:val="bullet"/>
      <w:lvlText w:val="o"/>
      <w:lvlJc w:val="left"/>
      <w:pPr>
        <w:tabs>
          <w:tab w:val="num" w:pos="6120"/>
        </w:tabs>
        <w:ind w:left="6120" w:hanging="360"/>
      </w:pPr>
      <w:rPr>
        <w:rFonts w:ascii="Courier New" w:hAnsi="Courier New" w:cs="Courier New" w:hint="default"/>
      </w:rPr>
    </w:lvl>
    <w:lvl w:ilvl="8" w:tplc="048842A2"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AC2662"/>
    <w:multiLevelType w:val="hybridMultilevel"/>
    <w:tmpl w:val="4B0ED180"/>
    <w:lvl w:ilvl="0" w:tplc="8C285606">
      <w:start w:val="1"/>
      <w:numFmt w:val="bullet"/>
      <w:lvlText w:val="o"/>
      <w:lvlJc w:val="left"/>
      <w:pPr>
        <w:tabs>
          <w:tab w:val="num" w:pos="720"/>
        </w:tabs>
        <w:ind w:left="720" w:hanging="360"/>
      </w:pPr>
      <w:rPr>
        <w:rFonts w:ascii="Courier New" w:hAnsi="Courier New" w:hint="default"/>
      </w:rPr>
    </w:lvl>
    <w:lvl w:ilvl="1" w:tplc="B05083FC" w:tentative="1">
      <w:start w:val="1"/>
      <w:numFmt w:val="bullet"/>
      <w:lvlText w:val="o"/>
      <w:lvlJc w:val="left"/>
      <w:pPr>
        <w:tabs>
          <w:tab w:val="num" w:pos="1440"/>
        </w:tabs>
        <w:ind w:left="1440" w:hanging="360"/>
      </w:pPr>
      <w:rPr>
        <w:rFonts w:ascii="Courier New" w:hAnsi="Courier New" w:hint="default"/>
      </w:rPr>
    </w:lvl>
    <w:lvl w:ilvl="2" w:tplc="CC0C9C66" w:tentative="1">
      <w:start w:val="1"/>
      <w:numFmt w:val="bullet"/>
      <w:lvlText w:val=""/>
      <w:lvlJc w:val="left"/>
      <w:pPr>
        <w:tabs>
          <w:tab w:val="num" w:pos="2160"/>
        </w:tabs>
        <w:ind w:left="2160" w:hanging="360"/>
      </w:pPr>
      <w:rPr>
        <w:rFonts w:ascii="Wingdings" w:hAnsi="Wingdings" w:hint="default"/>
      </w:rPr>
    </w:lvl>
    <w:lvl w:ilvl="3" w:tplc="67906240" w:tentative="1">
      <w:start w:val="1"/>
      <w:numFmt w:val="bullet"/>
      <w:lvlText w:val=""/>
      <w:lvlJc w:val="left"/>
      <w:pPr>
        <w:tabs>
          <w:tab w:val="num" w:pos="2880"/>
        </w:tabs>
        <w:ind w:left="2880" w:hanging="360"/>
      </w:pPr>
      <w:rPr>
        <w:rFonts w:ascii="Symbol" w:hAnsi="Symbol" w:hint="default"/>
      </w:rPr>
    </w:lvl>
    <w:lvl w:ilvl="4" w:tplc="9DB23AA4" w:tentative="1">
      <w:start w:val="1"/>
      <w:numFmt w:val="bullet"/>
      <w:lvlText w:val="o"/>
      <w:lvlJc w:val="left"/>
      <w:pPr>
        <w:tabs>
          <w:tab w:val="num" w:pos="3600"/>
        </w:tabs>
        <w:ind w:left="3600" w:hanging="360"/>
      </w:pPr>
      <w:rPr>
        <w:rFonts w:ascii="Courier New" w:hAnsi="Courier New" w:hint="default"/>
      </w:rPr>
    </w:lvl>
    <w:lvl w:ilvl="5" w:tplc="2D628B80" w:tentative="1">
      <w:start w:val="1"/>
      <w:numFmt w:val="bullet"/>
      <w:lvlText w:val=""/>
      <w:lvlJc w:val="left"/>
      <w:pPr>
        <w:tabs>
          <w:tab w:val="num" w:pos="4320"/>
        </w:tabs>
        <w:ind w:left="4320" w:hanging="360"/>
      </w:pPr>
      <w:rPr>
        <w:rFonts w:ascii="Wingdings" w:hAnsi="Wingdings" w:hint="default"/>
      </w:rPr>
    </w:lvl>
    <w:lvl w:ilvl="6" w:tplc="51024F2A" w:tentative="1">
      <w:start w:val="1"/>
      <w:numFmt w:val="bullet"/>
      <w:lvlText w:val=""/>
      <w:lvlJc w:val="left"/>
      <w:pPr>
        <w:tabs>
          <w:tab w:val="num" w:pos="5040"/>
        </w:tabs>
        <w:ind w:left="5040" w:hanging="360"/>
      </w:pPr>
      <w:rPr>
        <w:rFonts w:ascii="Symbol" w:hAnsi="Symbol" w:hint="default"/>
      </w:rPr>
    </w:lvl>
    <w:lvl w:ilvl="7" w:tplc="517ED27A" w:tentative="1">
      <w:start w:val="1"/>
      <w:numFmt w:val="bullet"/>
      <w:lvlText w:val="o"/>
      <w:lvlJc w:val="left"/>
      <w:pPr>
        <w:tabs>
          <w:tab w:val="num" w:pos="5760"/>
        </w:tabs>
        <w:ind w:left="5760" w:hanging="360"/>
      </w:pPr>
      <w:rPr>
        <w:rFonts w:ascii="Courier New" w:hAnsi="Courier New" w:hint="default"/>
      </w:rPr>
    </w:lvl>
    <w:lvl w:ilvl="8" w:tplc="1F289C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42127560"/>
    <w:multiLevelType w:val="hybridMultilevel"/>
    <w:tmpl w:val="EDA0CE88"/>
    <w:lvl w:ilvl="0" w:tplc="28907392">
      <w:start w:val="1"/>
      <w:numFmt w:val="decimal"/>
      <w:lvlText w:val="%1."/>
      <w:lvlJc w:val="left"/>
      <w:pPr>
        <w:tabs>
          <w:tab w:val="num" w:pos="720"/>
        </w:tabs>
        <w:ind w:left="720" w:hanging="360"/>
      </w:pPr>
      <w:rPr>
        <w:rFonts w:hint="default"/>
      </w:rPr>
    </w:lvl>
    <w:lvl w:ilvl="1" w:tplc="12E8A51E" w:tentative="1">
      <w:start w:val="1"/>
      <w:numFmt w:val="lowerLetter"/>
      <w:lvlText w:val="%2."/>
      <w:lvlJc w:val="left"/>
      <w:pPr>
        <w:tabs>
          <w:tab w:val="num" w:pos="1440"/>
        </w:tabs>
        <w:ind w:left="1440" w:hanging="360"/>
      </w:pPr>
    </w:lvl>
    <w:lvl w:ilvl="2" w:tplc="DFD8F8B4" w:tentative="1">
      <w:start w:val="1"/>
      <w:numFmt w:val="lowerRoman"/>
      <w:lvlText w:val="%3."/>
      <w:lvlJc w:val="right"/>
      <w:pPr>
        <w:tabs>
          <w:tab w:val="num" w:pos="2160"/>
        </w:tabs>
        <w:ind w:left="2160" w:hanging="180"/>
      </w:pPr>
    </w:lvl>
    <w:lvl w:ilvl="3" w:tplc="A05C6798" w:tentative="1">
      <w:start w:val="1"/>
      <w:numFmt w:val="decimal"/>
      <w:lvlText w:val="%4."/>
      <w:lvlJc w:val="left"/>
      <w:pPr>
        <w:tabs>
          <w:tab w:val="num" w:pos="2880"/>
        </w:tabs>
        <w:ind w:left="2880" w:hanging="360"/>
      </w:pPr>
    </w:lvl>
    <w:lvl w:ilvl="4" w:tplc="CBAC0DC0" w:tentative="1">
      <w:start w:val="1"/>
      <w:numFmt w:val="lowerLetter"/>
      <w:lvlText w:val="%5."/>
      <w:lvlJc w:val="left"/>
      <w:pPr>
        <w:tabs>
          <w:tab w:val="num" w:pos="3600"/>
        </w:tabs>
        <w:ind w:left="3600" w:hanging="360"/>
      </w:pPr>
    </w:lvl>
    <w:lvl w:ilvl="5" w:tplc="FA6EF780" w:tentative="1">
      <w:start w:val="1"/>
      <w:numFmt w:val="lowerRoman"/>
      <w:lvlText w:val="%6."/>
      <w:lvlJc w:val="right"/>
      <w:pPr>
        <w:tabs>
          <w:tab w:val="num" w:pos="4320"/>
        </w:tabs>
        <w:ind w:left="4320" w:hanging="180"/>
      </w:pPr>
    </w:lvl>
    <w:lvl w:ilvl="6" w:tplc="A03A4D32" w:tentative="1">
      <w:start w:val="1"/>
      <w:numFmt w:val="decimal"/>
      <w:lvlText w:val="%7."/>
      <w:lvlJc w:val="left"/>
      <w:pPr>
        <w:tabs>
          <w:tab w:val="num" w:pos="5040"/>
        </w:tabs>
        <w:ind w:left="5040" w:hanging="360"/>
      </w:pPr>
    </w:lvl>
    <w:lvl w:ilvl="7" w:tplc="0D3C2EB6" w:tentative="1">
      <w:start w:val="1"/>
      <w:numFmt w:val="lowerLetter"/>
      <w:lvlText w:val="%8."/>
      <w:lvlJc w:val="left"/>
      <w:pPr>
        <w:tabs>
          <w:tab w:val="num" w:pos="5760"/>
        </w:tabs>
        <w:ind w:left="5760" w:hanging="360"/>
      </w:pPr>
    </w:lvl>
    <w:lvl w:ilvl="8" w:tplc="88F81EA2" w:tentative="1">
      <w:start w:val="1"/>
      <w:numFmt w:val="lowerRoman"/>
      <w:lvlText w:val="%9."/>
      <w:lvlJc w:val="right"/>
      <w:pPr>
        <w:tabs>
          <w:tab w:val="num" w:pos="6480"/>
        </w:tabs>
        <w:ind w:left="6480" w:hanging="180"/>
      </w:pPr>
    </w:lvl>
  </w:abstractNum>
  <w:abstractNum w:abstractNumId="13" w15:restartNumberingAfterBreak="0">
    <w:nsid w:val="54370F51"/>
    <w:multiLevelType w:val="hybridMultilevel"/>
    <w:tmpl w:val="7B74A338"/>
    <w:lvl w:ilvl="0" w:tplc="48A41B78">
      <w:start w:val="1"/>
      <w:numFmt w:val="bullet"/>
      <w:lvlText w:val=""/>
      <w:lvlJc w:val="left"/>
      <w:pPr>
        <w:tabs>
          <w:tab w:val="num" w:pos="720"/>
        </w:tabs>
        <w:ind w:left="720" w:hanging="360"/>
      </w:pPr>
      <w:rPr>
        <w:rFonts w:ascii="Symbol" w:hAnsi="Symbol" w:hint="default"/>
        <w:b w:val="0"/>
        <w:i w:val="0"/>
        <w:sz w:val="22"/>
      </w:rPr>
    </w:lvl>
    <w:lvl w:ilvl="1" w:tplc="1C146CB6" w:tentative="1">
      <w:start w:val="1"/>
      <w:numFmt w:val="bullet"/>
      <w:lvlText w:val="o"/>
      <w:lvlJc w:val="left"/>
      <w:pPr>
        <w:tabs>
          <w:tab w:val="num" w:pos="1440"/>
        </w:tabs>
        <w:ind w:left="1440" w:hanging="360"/>
      </w:pPr>
      <w:rPr>
        <w:rFonts w:ascii="Courier New" w:hAnsi="Courier New" w:hint="default"/>
      </w:rPr>
    </w:lvl>
    <w:lvl w:ilvl="2" w:tplc="FAE243A4" w:tentative="1">
      <w:start w:val="1"/>
      <w:numFmt w:val="bullet"/>
      <w:lvlText w:val=""/>
      <w:lvlJc w:val="left"/>
      <w:pPr>
        <w:tabs>
          <w:tab w:val="num" w:pos="2160"/>
        </w:tabs>
        <w:ind w:left="2160" w:hanging="360"/>
      </w:pPr>
      <w:rPr>
        <w:rFonts w:ascii="Wingdings" w:hAnsi="Wingdings" w:hint="default"/>
      </w:rPr>
    </w:lvl>
    <w:lvl w:ilvl="3" w:tplc="44921052" w:tentative="1">
      <w:start w:val="1"/>
      <w:numFmt w:val="bullet"/>
      <w:lvlText w:val=""/>
      <w:lvlJc w:val="left"/>
      <w:pPr>
        <w:tabs>
          <w:tab w:val="num" w:pos="2880"/>
        </w:tabs>
        <w:ind w:left="2880" w:hanging="360"/>
      </w:pPr>
      <w:rPr>
        <w:rFonts w:ascii="Symbol" w:hAnsi="Symbol" w:hint="default"/>
      </w:rPr>
    </w:lvl>
    <w:lvl w:ilvl="4" w:tplc="6986940A" w:tentative="1">
      <w:start w:val="1"/>
      <w:numFmt w:val="bullet"/>
      <w:lvlText w:val="o"/>
      <w:lvlJc w:val="left"/>
      <w:pPr>
        <w:tabs>
          <w:tab w:val="num" w:pos="3600"/>
        </w:tabs>
        <w:ind w:left="3600" w:hanging="360"/>
      </w:pPr>
      <w:rPr>
        <w:rFonts w:ascii="Courier New" w:hAnsi="Courier New" w:hint="default"/>
      </w:rPr>
    </w:lvl>
    <w:lvl w:ilvl="5" w:tplc="CAC8F60A" w:tentative="1">
      <w:start w:val="1"/>
      <w:numFmt w:val="bullet"/>
      <w:lvlText w:val=""/>
      <w:lvlJc w:val="left"/>
      <w:pPr>
        <w:tabs>
          <w:tab w:val="num" w:pos="4320"/>
        </w:tabs>
        <w:ind w:left="4320" w:hanging="360"/>
      </w:pPr>
      <w:rPr>
        <w:rFonts w:ascii="Wingdings" w:hAnsi="Wingdings" w:hint="default"/>
      </w:rPr>
    </w:lvl>
    <w:lvl w:ilvl="6" w:tplc="A2589E28" w:tentative="1">
      <w:start w:val="1"/>
      <w:numFmt w:val="bullet"/>
      <w:lvlText w:val=""/>
      <w:lvlJc w:val="left"/>
      <w:pPr>
        <w:tabs>
          <w:tab w:val="num" w:pos="5040"/>
        </w:tabs>
        <w:ind w:left="5040" w:hanging="360"/>
      </w:pPr>
      <w:rPr>
        <w:rFonts w:ascii="Symbol" w:hAnsi="Symbol" w:hint="default"/>
      </w:rPr>
    </w:lvl>
    <w:lvl w:ilvl="7" w:tplc="E1D40C7A" w:tentative="1">
      <w:start w:val="1"/>
      <w:numFmt w:val="bullet"/>
      <w:lvlText w:val="o"/>
      <w:lvlJc w:val="left"/>
      <w:pPr>
        <w:tabs>
          <w:tab w:val="num" w:pos="5760"/>
        </w:tabs>
        <w:ind w:left="5760" w:hanging="360"/>
      </w:pPr>
      <w:rPr>
        <w:rFonts w:ascii="Courier New" w:hAnsi="Courier New" w:hint="default"/>
      </w:rPr>
    </w:lvl>
    <w:lvl w:ilvl="8" w:tplc="080E4D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33E54"/>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59CC272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611C2818"/>
    <w:multiLevelType w:val="hybridMultilevel"/>
    <w:tmpl w:val="C7CEE5E0"/>
    <w:lvl w:ilvl="0" w:tplc="24BA5C80">
      <w:start w:val="1"/>
      <w:numFmt w:val="bullet"/>
      <w:lvlText w:val="o"/>
      <w:lvlJc w:val="left"/>
      <w:pPr>
        <w:tabs>
          <w:tab w:val="num" w:pos="720"/>
        </w:tabs>
        <w:ind w:left="720" w:hanging="360"/>
      </w:pPr>
      <w:rPr>
        <w:rFonts w:ascii="Courier New" w:hAnsi="Courier New" w:hint="default"/>
      </w:rPr>
    </w:lvl>
    <w:lvl w:ilvl="1" w:tplc="2EBC2F02" w:tentative="1">
      <w:start w:val="1"/>
      <w:numFmt w:val="bullet"/>
      <w:lvlText w:val="o"/>
      <w:lvlJc w:val="left"/>
      <w:pPr>
        <w:tabs>
          <w:tab w:val="num" w:pos="1440"/>
        </w:tabs>
        <w:ind w:left="1440" w:hanging="360"/>
      </w:pPr>
      <w:rPr>
        <w:rFonts w:ascii="Courier New" w:hAnsi="Courier New" w:hint="default"/>
      </w:rPr>
    </w:lvl>
    <w:lvl w:ilvl="2" w:tplc="D6028E96" w:tentative="1">
      <w:start w:val="1"/>
      <w:numFmt w:val="bullet"/>
      <w:lvlText w:val=""/>
      <w:lvlJc w:val="left"/>
      <w:pPr>
        <w:tabs>
          <w:tab w:val="num" w:pos="2160"/>
        </w:tabs>
        <w:ind w:left="2160" w:hanging="360"/>
      </w:pPr>
      <w:rPr>
        <w:rFonts w:ascii="Wingdings" w:hAnsi="Wingdings" w:hint="default"/>
      </w:rPr>
    </w:lvl>
    <w:lvl w:ilvl="3" w:tplc="84E4A212" w:tentative="1">
      <w:start w:val="1"/>
      <w:numFmt w:val="bullet"/>
      <w:lvlText w:val=""/>
      <w:lvlJc w:val="left"/>
      <w:pPr>
        <w:tabs>
          <w:tab w:val="num" w:pos="2880"/>
        </w:tabs>
        <w:ind w:left="2880" w:hanging="360"/>
      </w:pPr>
      <w:rPr>
        <w:rFonts w:ascii="Symbol" w:hAnsi="Symbol" w:hint="default"/>
      </w:rPr>
    </w:lvl>
    <w:lvl w:ilvl="4" w:tplc="25AA7010" w:tentative="1">
      <w:start w:val="1"/>
      <w:numFmt w:val="bullet"/>
      <w:lvlText w:val="o"/>
      <w:lvlJc w:val="left"/>
      <w:pPr>
        <w:tabs>
          <w:tab w:val="num" w:pos="3600"/>
        </w:tabs>
        <w:ind w:left="3600" w:hanging="360"/>
      </w:pPr>
      <w:rPr>
        <w:rFonts w:ascii="Courier New" w:hAnsi="Courier New" w:hint="default"/>
      </w:rPr>
    </w:lvl>
    <w:lvl w:ilvl="5" w:tplc="9F90FDD6" w:tentative="1">
      <w:start w:val="1"/>
      <w:numFmt w:val="bullet"/>
      <w:lvlText w:val=""/>
      <w:lvlJc w:val="left"/>
      <w:pPr>
        <w:tabs>
          <w:tab w:val="num" w:pos="4320"/>
        </w:tabs>
        <w:ind w:left="4320" w:hanging="360"/>
      </w:pPr>
      <w:rPr>
        <w:rFonts w:ascii="Wingdings" w:hAnsi="Wingdings" w:hint="default"/>
      </w:rPr>
    </w:lvl>
    <w:lvl w:ilvl="6" w:tplc="BEEA9776" w:tentative="1">
      <w:start w:val="1"/>
      <w:numFmt w:val="bullet"/>
      <w:lvlText w:val=""/>
      <w:lvlJc w:val="left"/>
      <w:pPr>
        <w:tabs>
          <w:tab w:val="num" w:pos="5040"/>
        </w:tabs>
        <w:ind w:left="5040" w:hanging="360"/>
      </w:pPr>
      <w:rPr>
        <w:rFonts w:ascii="Symbol" w:hAnsi="Symbol" w:hint="default"/>
      </w:rPr>
    </w:lvl>
    <w:lvl w:ilvl="7" w:tplc="30688B5C" w:tentative="1">
      <w:start w:val="1"/>
      <w:numFmt w:val="bullet"/>
      <w:lvlText w:val="o"/>
      <w:lvlJc w:val="left"/>
      <w:pPr>
        <w:tabs>
          <w:tab w:val="num" w:pos="5760"/>
        </w:tabs>
        <w:ind w:left="5760" w:hanging="360"/>
      </w:pPr>
      <w:rPr>
        <w:rFonts w:ascii="Courier New" w:hAnsi="Courier New" w:hint="default"/>
      </w:rPr>
    </w:lvl>
    <w:lvl w:ilvl="8" w:tplc="D8B05D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62B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1"/>
  </w:num>
  <w:num w:numId="2">
    <w:abstractNumId w:val="18"/>
  </w:num>
  <w:num w:numId="3">
    <w:abstractNumId w:val="4"/>
  </w:num>
  <w:num w:numId="4">
    <w:abstractNumId w:val="14"/>
  </w:num>
  <w:num w:numId="5">
    <w:abstractNumId w:val="17"/>
  </w:num>
  <w:num w:numId="6">
    <w:abstractNumId w:val="13"/>
  </w:num>
  <w:num w:numId="7">
    <w:abstractNumId w:val="12"/>
  </w:num>
  <w:num w:numId="8">
    <w:abstractNumId w:val="7"/>
  </w:num>
  <w:num w:numId="9">
    <w:abstractNumId w:val="9"/>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0"/>
  </w:num>
  <w:num w:numId="17">
    <w:abstractNumId w:val="1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D"/>
    <w:rsid w:val="000256AF"/>
    <w:rsid w:val="00674ACE"/>
    <w:rsid w:val="00B53D0E"/>
    <w:rsid w:val="00EC7CED"/>
    <w:rsid w:val="00F5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9BA12E-697C-4A26-BE39-1CFF1473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360" w:hanging="360"/>
    </w:pPr>
    <w:rPr>
      <w:rFonts w:ascii="Arial" w:hAnsi="Arial" w:cs="Arial"/>
      <w:sz w:val="22"/>
      <w:szCs w:val="22"/>
    </w:rPr>
  </w:style>
  <w:style w:type="paragraph" w:customStyle="1" w:styleId="anotes">
    <w:name w:val="a_notes"/>
    <w:basedOn w:val="Normal"/>
    <w:pPr>
      <w:spacing w:before="160"/>
      <w:ind w:left="360"/>
    </w:pPr>
    <w:rPr>
      <w:rFonts w:ascii="Arial" w:hAnsi="Arial"/>
      <w:snapToGrid w:val="0"/>
      <w:color w:val="000000"/>
    </w:rPr>
  </w:style>
  <w:style w:type="paragraph" w:customStyle="1" w:styleId="BodyTextKeep">
    <w:name w:val="Body Text Keep"/>
    <w:basedOn w:val="BodyText"/>
    <w:pPr>
      <w:keepNext/>
      <w:pBdr>
        <w:top w:val="none" w:sz="0" w:space="0" w:color="auto"/>
        <w:left w:val="none" w:sz="0" w:space="0" w:color="auto"/>
        <w:bottom w:val="none" w:sz="0" w:space="0" w:color="auto"/>
        <w:right w:val="none" w:sz="0" w:space="0" w:color="auto"/>
      </w:pBdr>
      <w:autoSpaceDE w:val="0"/>
      <w:autoSpaceDN w:val="0"/>
      <w:spacing w:after="240" w:line="240" w:lineRule="atLeast"/>
      <w:ind w:firstLine="360"/>
      <w:jc w:val="both"/>
    </w:pPr>
    <w:rPr>
      <w:rFonts w:ascii="Garamond" w:hAnsi="Garamond"/>
      <w:sz w:val="22"/>
      <w:szCs w:val="22"/>
      <w:u w:val="none"/>
    </w:rPr>
  </w:style>
  <w:style w:type="paragraph" w:styleId="ListParagraph">
    <w:name w:val="List Paragraph"/>
    <w:basedOn w:val="Normal"/>
    <w:uiPriority w:val="1"/>
    <w:qFormat/>
    <w:rsid w:val="00F52EEC"/>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mdoherty@iconectiv.com</dc:creator>
  <cp:keywords/>
  <dc:description/>
  <cp:lastModifiedBy>Doherty, Michael</cp:lastModifiedBy>
  <cp:revision>3</cp:revision>
  <cp:lastPrinted>2003-07-24T01:31:00Z</cp:lastPrinted>
  <dcterms:created xsi:type="dcterms:W3CDTF">2020-09-22T20:36:00Z</dcterms:created>
  <dcterms:modified xsi:type="dcterms:W3CDTF">2020-10-07T20:15:00Z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1050274057</vt:i4>
  </property>
  <property fmtid="{D5CDD505-2E9C-101B-9397-08002B2CF9AE}" pid="3" name="_EmailSubject">
    <vt:lpwstr>Revised PIM 29.</vt:lpwstr>
  </property>
  <property fmtid="{D5CDD505-2E9C-101B-9397-08002B2CF9AE}" pid="4" name="_AuthorEmail">
    <vt:lpwstr>rdress01@sprintspectrum.com</vt:lpwstr>
  </property>
  <property fmtid="{D5CDD505-2E9C-101B-9397-08002B2CF9AE}" pid="5" name="_AuthorEmailDisplayName">
    <vt:lpwstr>Dressner, Rick L [Non-Employee]</vt:lpwstr>
  </property>
  <property fmtid="{D5CDD505-2E9C-101B-9397-08002B2CF9AE}" pid="6" name="_NewReviewCycle">
    <vt:lpwstr/>
  </property>
  <property fmtid="{D5CDD505-2E9C-101B-9397-08002B2CF9AE}" pid="7" name="_PreviousAdHocReviewCycleID">
    <vt:i4>442322446</vt:i4>
  </property>
  <property fmtid="{D5CDD505-2E9C-101B-9397-08002B2CF9AE}" pid="8" name="_ReviewingToolsShownOnce">
    <vt:lpwstr/>
  </property>
</Properties>
</file>