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4CF" w:rsidRDefault="000204CF">
      <w:pPr>
        <w:pStyle w:val="Title"/>
        <w:shd w:val="clear" w:color="auto" w:fill="C0C0C0"/>
        <w:outlineLvl w:val="0"/>
      </w:pPr>
      <w:r>
        <w:t>LNP Problem/Issue Identification and Description Form</w:t>
      </w:r>
    </w:p>
    <w:p w:rsidR="000204CF" w:rsidRDefault="000204CF">
      <w:pPr>
        <w:rPr>
          <w:sz w:val="24"/>
        </w:rPr>
      </w:pPr>
    </w:p>
    <w:p w:rsidR="000204CF" w:rsidRDefault="000204CF">
      <w:pPr>
        <w:rPr>
          <w:sz w:val="24"/>
        </w:rPr>
      </w:pPr>
    </w:p>
    <w:p w:rsidR="000204CF" w:rsidRPr="00D4342E" w:rsidRDefault="000204CF">
      <w:pPr>
        <w:pBdr>
          <w:top w:val="single" w:sz="4" w:space="1" w:color="auto"/>
          <w:left w:val="single" w:sz="4" w:space="4" w:color="auto"/>
          <w:bottom w:val="single" w:sz="4" w:space="1" w:color="auto"/>
          <w:right w:val="single" w:sz="4" w:space="4" w:color="auto"/>
        </w:pBdr>
        <w:outlineLvl w:val="0"/>
        <w:rPr>
          <w:b/>
          <w:sz w:val="24"/>
        </w:rPr>
      </w:pPr>
      <w:r>
        <w:rPr>
          <w:b/>
          <w:sz w:val="24"/>
        </w:rPr>
        <w:t>Submittal Date</w:t>
      </w:r>
      <w:r>
        <w:rPr>
          <w:sz w:val="24"/>
        </w:rPr>
        <w:t xml:space="preserve"> (mm/</w:t>
      </w:r>
      <w:proofErr w:type="spellStart"/>
      <w:r>
        <w:rPr>
          <w:sz w:val="24"/>
        </w:rPr>
        <w:t>dd</w:t>
      </w:r>
      <w:proofErr w:type="spellEnd"/>
      <w:r>
        <w:rPr>
          <w:sz w:val="24"/>
        </w:rPr>
        <w:t>/</w:t>
      </w:r>
      <w:proofErr w:type="spellStart"/>
      <w:r>
        <w:rPr>
          <w:sz w:val="24"/>
        </w:rPr>
        <w:t>yyyy</w:t>
      </w:r>
      <w:proofErr w:type="spellEnd"/>
      <w:r>
        <w:rPr>
          <w:sz w:val="24"/>
        </w:rPr>
        <w:t>): 7/7/2004</w:t>
      </w:r>
      <w:r w:rsidR="00D4342E">
        <w:rPr>
          <w:sz w:val="24"/>
        </w:rPr>
        <w:t xml:space="preserve">                                                       </w:t>
      </w:r>
      <w:r w:rsidR="00D4342E">
        <w:rPr>
          <w:b/>
          <w:sz w:val="24"/>
        </w:rPr>
        <w:t xml:space="preserve">PIM 42 </w:t>
      </w:r>
      <w:r w:rsidR="00013F95">
        <w:rPr>
          <w:b/>
          <w:sz w:val="24"/>
        </w:rPr>
        <w:t>v4</w:t>
      </w:r>
    </w:p>
    <w:p w:rsidR="000204CF" w:rsidRDefault="000204CF">
      <w:pPr>
        <w:pBdr>
          <w:top w:val="single" w:sz="4" w:space="1" w:color="auto"/>
          <w:left w:val="single" w:sz="4" w:space="4" w:color="auto"/>
          <w:bottom w:val="single" w:sz="4" w:space="1" w:color="auto"/>
          <w:right w:val="single" w:sz="4" w:space="4" w:color="auto"/>
        </w:pBdr>
        <w:outlineLvl w:val="0"/>
        <w:rPr>
          <w:sz w:val="24"/>
        </w:rPr>
      </w:pPr>
      <w:r>
        <w:rPr>
          <w:b/>
          <w:sz w:val="24"/>
        </w:rPr>
        <w:t>Company(s) Submitting Issue</w:t>
      </w:r>
      <w:r>
        <w:rPr>
          <w:sz w:val="24"/>
        </w:rPr>
        <w:t xml:space="preserve">: </w:t>
      </w:r>
      <w:proofErr w:type="spellStart"/>
      <w:r>
        <w:rPr>
          <w:sz w:val="24"/>
        </w:rPr>
        <w:t>Syniverse</w:t>
      </w:r>
      <w:proofErr w:type="spellEnd"/>
    </w:p>
    <w:p w:rsidR="000204CF" w:rsidRDefault="000204CF">
      <w:pPr>
        <w:pBdr>
          <w:top w:val="single" w:sz="4" w:space="1" w:color="auto"/>
          <w:left w:val="single" w:sz="4" w:space="4" w:color="auto"/>
          <w:bottom w:val="single" w:sz="4" w:space="1" w:color="auto"/>
          <w:right w:val="single" w:sz="4" w:space="4" w:color="auto"/>
        </w:pBdr>
        <w:outlineLvl w:val="0"/>
        <w:rPr>
          <w:sz w:val="24"/>
        </w:rPr>
      </w:pPr>
      <w:r>
        <w:rPr>
          <w:b/>
          <w:sz w:val="24"/>
        </w:rPr>
        <w:t xml:space="preserve">Contact(s):  Name: </w:t>
      </w:r>
      <w:r>
        <w:rPr>
          <w:sz w:val="24"/>
        </w:rPr>
        <w:t>Rob Smith</w:t>
      </w:r>
      <w:r>
        <w:rPr>
          <w:b/>
          <w:sz w:val="24"/>
        </w:rPr>
        <w:t xml:space="preserve"> </w:t>
      </w:r>
    </w:p>
    <w:p w:rsidR="000204CF" w:rsidRDefault="000204CF">
      <w:pPr>
        <w:pBdr>
          <w:top w:val="single" w:sz="4" w:space="1" w:color="auto"/>
          <w:left w:val="single" w:sz="4" w:space="4" w:color="auto"/>
          <w:bottom w:val="single" w:sz="4" w:space="1" w:color="auto"/>
          <w:right w:val="single" w:sz="4" w:space="4" w:color="auto"/>
        </w:pBdr>
        <w:outlineLvl w:val="0"/>
        <w:rPr>
          <w:sz w:val="24"/>
        </w:rPr>
      </w:pPr>
      <w:r>
        <w:rPr>
          <w:sz w:val="24"/>
        </w:rPr>
        <w:tab/>
        <w:t xml:space="preserve">         </w:t>
      </w:r>
      <w:r>
        <w:rPr>
          <w:b/>
          <w:sz w:val="24"/>
        </w:rPr>
        <w:t xml:space="preserve">Contact Number: </w:t>
      </w:r>
      <w:r>
        <w:rPr>
          <w:sz w:val="24"/>
        </w:rPr>
        <w:t xml:space="preserve">813-273-3319   </w:t>
      </w:r>
    </w:p>
    <w:p w:rsidR="000204CF" w:rsidRDefault="000204CF">
      <w:pPr>
        <w:pBdr>
          <w:top w:val="single" w:sz="4" w:space="1" w:color="auto"/>
          <w:left w:val="single" w:sz="4" w:space="4" w:color="auto"/>
          <w:bottom w:val="single" w:sz="4" w:space="1" w:color="auto"/>
          <w:right w:val="single" w:sz="4" w:space="4" w:color="auto"/>
        </w:pBdr>
        <w:outlineLvl w:val="0"/>
        <w:rPr>
          <w:sz w:val="24"/>
        </w:rPr>
      </w:pPr>
      <w:r>
        <w:rPr>
          <w:sz w:val="24"/>
        </w:rPr>
        <w:tab/>
        <w:t xml:space="preserve">         </w:t>
      </w:r>
      <w:r>
        <w:rPr>
          <w:b/>
          <w:sz w:val="24"/>
        </w:rPr>
        <w:t xml:space="preserve">Email Address: </w:t>
      </w:r>
      <w:r>
        <w:rPr>
          <w:sz w:val="24"/>
        </w:rPr>
        <w:t xml:space="preserve">robert.smith@syniverse.com </w:t>
      </w:r>
    </w:p>
    <w:p w:rsidR="000204CF" w:rsidRDefault="000204CF">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0204CF" w:rsidRDefault="000204CF">
      <w:pPr>
        <w:rPr>
          <w:sz w:val="24"/>
          <w:u w:val="single"/>
        </w:rPr>
      </w:pPr>
    </w:p>
    <w:p w:rsidR="000204CF" w:rsidRDefault="000204CF">
      <w:pPr>
        <w:rPr>
          <w:sz w:val="24"/>
          <w:u w:val="single"/>
        </w:rPr>
      </w:pPr>
    </w:p>
    <w:p w:rsidR="000204CF" w:rsidRDefault="000204CF">
      <w:pPr>
        <w:numPr>
          <w:ilvl w:val="0"/>
          <w:numId w:val="3"/>
        </w:numPr>
        <w:rPr>
          <w:sz w:val="16"/>
        </w:rPr>
      </w:pPr>
      <w:r>
        <w:rPr>
          <w:b/>
          <w:sz w:val="24"/>
        </w:rPr>
        <w:t>Problem/Issue Statement:</w:t>
      </w:r>
      <w:r>
        <w:rPr>
          <w:sz w:val="24"/>
        </w:rPr>
        <w:t xml:space="preserve"> </w:t>
      </w:r>
      <w:r>
        <w:rPr>
          <w:sz w:val="16"/>
        </w:rPr>
        <w:t>(Brief statement outlining the problem/issue.)</w:t>
      </w:r>
    </w:p>
    <w:p w:rsidR="000204CF" w:rsidRDefault="000204CF">
      <w:pPr>
        <w:rPr>
          <w:sz w:val="24"/>
        </w:rPr>
      </w:pPr>
    </w:p>
    <w:p w:rsidR="000204CF" w:rsidRDefault="000204CF">
      <w:pPr>
        <w:pStyle w:val="BodyText3"/>
        <w:rPr>
          <w:rFonts w:ascii="Arial" w:hAnsi="Arial"/>
        </w:rPr>
      </w:pPr>
      <w:r>
        <w:rPr>
          <w:rFonts w:ascii="Arial" w:hAnsi="Arial"/>
        </w:rPr>
        <w:t>The wireless process for porting based on developing and sending a ‘wireless port request’ (WPR) does not collect and provide all the information that is needed to map to the wire line ‘local service request’ (LSR).  Fields that are required for wire line porting may have no relevance to wireless porting.  Where the information is not available the ports fail. The LSOP committee intentionally made these fields ‘</w:t>
      </w:r>
      <w:r>
        <w:rPr>
          <w:rFonts w:ascii="Arial" w:hAnsi="Arial"/>
          <w:u w:val="single"/>
        </w:rPr>
        <w:t>optional</w:t>
      </w:r>
      <w:r>
        <w:rPr>
          <w:rFonts w:ascii="Arial" w:hAnsi="Arial"/>
        </w:rPr>
        <w:t xml:space="preserve">’ because of wireless number portability.  Some individual ILEC business rules still require these fields. </w:t>
      </w:r>
    </w:p>
    <w:p w:rsidR="000204CF" w:rsidRDefault="000204CF">
      <w:pPr>
        <w:pStyle w:val="BodyText2"/>
        <w:rPr>
          <w:sz w:val="20"/>
        </w:rPr>
      </w:pPr>
    </w:p>
    <w:p w:rsidR="000204CF" w:rsidRDefault="000204CF">
      <w:pPr>
        <w:rPr>
          <w:sz w:val="24"/>
        </w:rPr>
      </w:pPr>
      <w:r>
        <w:rPr>
          <w:sz w:val="24"/>
        </w:rPr>
        <w:t xml:space="preserve"> </w:t>
      </w:r>
    </w:p>
    <w:p w:rsidR="000204CF" w:rsidRDefault="000204CF">
      <w:pPr>
        <w:rPr>
          <w:sz w:val="24"/>
        </w:rPr>
      </w:pPr>
    </w:p>
    <w:p w:rsidR="000204CF" w:rsidRDefault="000204CF">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0204CF" w:rsidRDefault="000204CF">
      <w:pPr>
        <w:pStyle w:val="BodyText"/>
        <w:pBdr>
          <w:top w:val="none" w:sz="0" w:space="0" w:color="auto"/>
          <w:left w:val="none" w:sz="0" w:space="0" w:color="auto"/>
          <w:bottom w:val="none" w:sz="0" w:space="0" w:color="auto"/>
          <w:right w:val="none" w:sz="0" w:space="0" w:color="auto"/>
        </w:pBdr>
        <w:rPr>
          <w:sz w:val="16"/>
          <w:u w:val="none"/>
        </w:rPr>
      </w:pPr>
    </w:p>
    <w:p w:rsidR="000204CF" w:rsidRDefault="000204CF">
      <w:pPr>
        <w:pStyle w:val="BodyText2"/>
        <w:numPr>
          <w:ilvl w:val="0"/>
          <w:numId w:val="4"/>
        </w:numPr>
        <w:rPr>
          <w:sz w:val="20"/>
        </w:rPr>
      </w:pPr>
      <w:r>
        <w:rPr>
          <w:sz w:val="20"/>
        </w:rPr>
        <w:t xml:space="preserve">Examples &amp; Impacts of Problem/Issue: </w:t>
      </w:r>
    </w:p>
    <w:p w:rsidR="000204CF" w:rsidRDefault="000204CF">
      <w:pPr>
        <w:pStyle w:val="BodyText2"/>
        <w:rPr>
          <w:sz w:val="20"/>
        </w:rPr>
      </w:pPr>
    </w:p>
    <w:p w:rsidR="000204CF" w:rsidRDefault="000204CF">
      <w:pPr>
        <w:pStyle w:val="BodyText2"/>
        <w:rPr>
          <w:rFonts w:ascii="Arial" w:hAnsi="Arial"/>
          <w:b/>
          <w:sz w:val="20"/>
        </w:rPr>
      </w:pPr>
      <w:r>
        <w:rPr>
          <w:sz w:val="20"/>
        </w:rPr>
        <w:t xml:space="preserve"> </w:t>
      </w:r>
      <w:r>
        <w:rPr>
          <w:rFonts w:ascii="Arial" w:hAnsi="Arial"/>
          <w:b/>
          <w:sz w:val="20"/>
        </w:rPr>
        <w:t>The ‘EU Address’ fields – End User Address on the End User forms</w:t>
      </w:r>
    </w:p>
    <w:p w:rsidR="000204CF" w:rsidRDefault="000204CF">
      <w:pPr>
        <w:pStyle w:val="BodyText2"/>
        <w:rPr>
          <w:rFonts w:ascii="Arial" w:hAnsi="Arial" w:cs="Arial"/>
          <w:sz w:val="20"/>
        </w:rPr>
      </w:pPr>
      <w:r>
        <w:rPr>
          <w:rFonts w:ascii="Arial" w:hAnsi="Arial"/>
          <w:sz w:val="20"/>
        </w:rPr>
        <w:t>A wireless end user has a billing address but does not have or require an address where service is provided and this information is not necessary to port a number.  The end user service address is used to tell wireline service personnel a location to make installations and repairs.  The wireless billing address does not always map to the wireline service address since bills may be sent to a different address then the service location</w:t>
      </w:r>
      <w:r>
        <w:rPr>
          <w:rFonts w:ascii="Arial" w:hAnsi="Arial" w:cs="Arial"/>
          <w:sz w:val="20"/>
        </w:rPr>
        <w:t xml:space="preserve">.  The address ‘25W </w:t>
      </w:r>
      <w:smartTag w:uri="urn:schemas-microsoft-com:office:smarttags" w:element="Street">
        <w:smartTag w:uri="urn:schemas-microsoft-com:office:smarttags" w:element="address">
          <w:r>
            <w:rPr>
              <w:rFonts w:ascii="Arial" w:hAnsi="Arial" w:cs="Arial"/>
              <w:sz w:val="20"/>
            </w:rPr>
            <w:t>450 1/2 SW Camino Ramon Lane NW</w:t>
          </w:r>
        </w:smartTag>
      </w:smartTag>
      <w:r>
        <w:rPr>
          <w:rFonts w:ascii="Arial" w:hAnsi="Arial" w:cs="Arial"/>
          <w:sz w:val="20"/>
        </w:rPr>
        <w:t xml:space="preserve">, Floor 12, Building 2, </w:t>
      </w:r>
      <w:smartTag w:uri="urn:schemas-microsoft-com:office:smarttags" w:element="address">
        <w:smartTag w:uri="urn:schemas-microsoft-com:office:smarttags" w:element="Street">
          <w:r>
            <w:rPr>
              <w:rFonts w:ascii="Arial" w:hAnsi="Arial" w:cs="Arial"/>
              <w:sz w:val="20"/>
            </w:rPr>
            <w:t>Suite</w:t>
          </w:r>
        </w:smartTag>
        <w:r>
          <w:rPr>
            <w:rFonts w:ascii="Arial" w:hAnsi="Arial" w:cs="Arial"/>
            <w:sz w:val="20"/>
          </w:rPr>
          <w:t xml:space="preserve"> 23A.</w:t>
        </w:r>
      </w:smartTag>
      <w:r>
        <w:rPr>
          <w:rFonts w:ascii="Arial" w:hAnsi="Arial" w:cs="Arial"/>
          <w:sz w:val="20"/>
        </w:rPr>
        <w:t>’ is used as an example to illustrate the service address fields.</w:t>
      </w:r>
    </w:p>
    <w:p w:rsidR="000204CF" w:rsidRDefault="000204CF">
      <w:pPr>
        <w:pStyle w:val="BodyText2"/>
        <w:rPr>
          <w:rFonts w:ascii="Arial" w:hAnsi="Arial"/>
          <w:sz w:val="20"/>
        </w:rPr>
      </w:pPr>
    </w:p>
    <w:p w:rsidR="000204CF" w:rsidRDefault="000204CF">
      <w:pPr>
        <w:pStyle w:val="BodyText2"/>
        <w:rPr>
          <w:rFonts w:ascii="Arial" w:hAnsi="Arial"/>
          <w:sz w:val="20"/>
        </w:rPr>
      </w:pPr>
      <w:r>
        <w:rPr>
          <w:rFonts w:ascii="Arial" w:hAnsi="Arial"/>
          <w:sz w:val="20"/>
        </w:rPr>
        <w:tab/>
      </w:r>
      <w:r>
        <w:rPr>
          <w:rFonts w:ascii="Arial" w:hAnsi="Arial"/>
          <w:b/>
          <w:bCs/>
          <w:sz w:val="20"/>
        </w:rPr>
        <w:t>SAPR -</w:t>
      </w:r>
      <w:r>
        <w:rPr>
          <w:rFonts w:ascii="Arial" w:hAnsi="Arial"/>
          <w:sz w:val="20"/>
        </w:rPr>
        <w:t xml:space="preserve"> Service Address Prefix - ‘25W’</w:t>
      </w:r>
    </w:p>
    <w:p w:rsidR="000204CF" w:rsidRDefault="000204CF">
      <w:pPr>
        <w:pStyle w:val="BodyText2"/>
        <w:rPr>
          <w:rFonts w:ascii="Arial" w:hAnsi="Arial"/>
          <w:sz w:val="20"/>
        </w:rPr>
      </w:pPr>
      <w:r>
        <w:rPr>
          <w:rFonts w:ascii="Arial" w:hAnsi="Arial"/>
          <w:sz w:val="20"/>
        </w:rPr>
        <w:tab/>
      </w:r>
      <w:r>
        <w:rPr>
          <w:rFonts w:ascii="Arial" w:hAnsi="Arial"/>
          <w:b/>
          <w:bCs/>
          <w:sz w:val="20"/>
        </w:rPr>
        <w:t>SANO</w:t>
      </w:r>
      <w:r>
        <w:rPr>
          <w:rFonts w:ascii="Arial" w:hAnsi="Arial"/>
          <w:sz w:val="20"/>
        </w:rPr>
        <w:t xml:space="preserve"> – Service Address Number – ‘450’</w:t>
      </w:r>
    </w:p>
    <w:p w:rsidR="000204CF" w:rsidRDefault="000204CF">
      <w:pPr>
        <w:pStyle w:val="BodyText2"/>
        <w:rPr>
          <w:rFonts w:ascii="Arial" w:hAnsi="Arial"/>
          <w:sz w:val="20"/>
        </w:rPr>
      </w:pPr>
      <w:r>
        <w:rPr>
          <w:rFonts w:ascii="Arial" w:hAnsi="Arial"/>
          <w:sz w:val="20"/>
        </w:rPr>
        <w:tab/>
      </w:r>
      <w:r>
        <w:rPr>
          <w:rFonts w:ascii="Arial" w:hAnsi="Arial"/>
          <w:b/>
          <w:bCs/>
          <w:sz w:val="20"/>
        </w:rPr>
        <w:t>SASF</w:t>
      </w:r>
      <w:r>
        <w:rPr>
          <w:rFonts w:ascii="Arial" w:hAnsi="Arial"/>
          <w:sz w:val="20"/>
        </w:rPr>
        <w:t xml:space="preserve"> – Service Address Suffix – ‘1/2’</w:t>
      </w:r>
    </w:p>
    <w:p w:rsidR="000204CF" w:rsidRDefault="000204CF">
      <w:pPr>
        <w:pStyle w:val="BodyText2"/>
        <w:rPr>
          <w:rFonts w:ascii="Arial" w:hAnsi="Arial"/>
          <w:sz w:val="20"/>
        </w:rPr>
      </w:pPr>
      <w:r>
        <w:rPr>
          <w:rFonts w:ascii="Arial" w:hAnsi="Arial"/>
          <w:sz w:val="20"/>
        </w:rPr>
        <w:tab/>
      </w:r>
      <w:r>
        <w:rPr>
          <w:rFonts w:ascii="Arial" w:hAnsi="Arial"/>
          <w:b/>
          <w:bCs/>
          <w:sz w:val="20"/>
        </w:rPr>
        <w:t>SASD</w:t>
      </w:r>
      <w:r>
        <w:rPr>
          <w:rFonts w:ascii="Arial" w:hAnsi="Arial"/>
          <w:sz w:val="20"/>
        </w:rPr>
        <w:t xml:space="preserve"> – </w:t>
      </w:r>
      <w:smartTag w:uri="urn:schemas-microsoft-com:office:smarttags" w:element="Street">
        <w:smartTag w:uri="urn:schemas-microsoft-com:office:smarttags" w:element="address">
          <w:r>
            <w:rPr>
              <w:rFonts w:ascii="Arial" w:hAnsi="Arial"/>
              <w:sz w:val="20"/>
            </w:rPr>
            <w:t>Service Address Street</w:t>
          </w:r>
        </w:smartTag>
      </w:smartTag>
      <w:r>
        <w:rPr>
          <w:rFonts w:ascii="Arial" w:hAnsi="Arial"/>
          <w:sz w:val="20"/>
        </w:rPr>
        <w:t xml:space="preserve"> Directional – ‘ SW’</w:t>
      </w:r>
    </w:p>
    <w:p w:rsidR="000204CF" w:rsidRDefault="000204CF">
      <w:pPr>
        <w:pStyle w:val="BodyText2"/>
        <w:rPr>
          <w:rFonts w:ascii="Arial" w:hAnsi="Arial"/>
          <w:sz w:val="20"/>
        </w:rPr>
      </w:pPr>
      <w:r>
        <w:rPr>
          <w:rFonts w:ascii="Arial" w:hAnsi="Arial"/>
          <w:sz w:val="20"/>
        </w:rPr>
        <w:tab/>
      </w:r>
      <w:r>
        <w:rPr>
          <w:rFonts w:ascii="Arial" w:hAnsi="Arial"/>
          <w:b/>
          <w:bCs/>
          <w:sz w:val="20"/>
        </w:rPr>
        <w:t>SASN</w:t>
      </w:r>
      <w:r>
        <w:rPr>
          <w:rFonts w:ascii="Arial" w:hAnsi="Arial"/>
          <w:sz w:val="20"/>
        </w:rPr>
        <w:t xml:space="preserve"> – </w:t>
      </w:r>
      <w:smartTag w:uri="urn:schemas-microsoft-com:office:smarttags" w:element="Street">
        <w:smartTag w:uri="urn:schemas-microsoft-com:office:smarttags" w:element="address">
          <w:r>
            <w:rPr>
              <w:rFonts w:ascii="Arial" w:hAnsi="Arial"/>
              <w:sz w:val="20"/>
            </w:rPr>
            <w:t>Service Address Street</w:t>
          </w:r>
        </w:smartTag>
      </w:smartTag>
      <w:r>
        <w:rPr>
          <w:rFonts w:ascii="Arial" w:hAnsi="Arial"/>
          <w:sz w:val="20"/>
        </w:rPr>
        <w:t xml:space="preserve"> Name – ‘Camino Ramon’</w:t>
      </w:r>
    </w:p>
    <w:p w:rsidR="000204CF" w:rsidRDefault="000204CF">
      <w:pPr>
        <w:pStyle w:val="BodyText2"/>
        <w:rPr>
          <w:rFonts w:ascii="Arial" w:hAnsi="Arial"/>
          <w:sz w:val="20"/>
        </w:rPr>
      </w:pPr>
      <w:r>
        <w:rPr>
          <w:rFonts w:ascii="Arial" w:hAnsi="Arial"/>
          <w:sz w:val="20"/>
        </w:rPr>
        <w:tab/>
      </w:r>
      <w:r>
        <w:rPr>
          <w:rFonts w:ascii="Arial" w:hAnsi="Arial"/>
          <w:b/>
          <w:bCs/>
          <w:sz w:val="20"/>
        </w:rPr>
        <w:t>SAST</w:t>
      </w:r>
      <w:r>
        <w:rPr>
          <w:rFonts w:ascii="Arial" w:hAnsi="Arial"/>
          <w:sz w:val="20"/>
        </w:rPr>
        <w:t xml:space="preserve"> – </w:t>
      </w:r>
      <w:smartTag w:uri="urn:schemas-microsoft-com:office:smarttags" w:element="Street">
        <w:smartTag w:uri="urn:schemas-microsoft-com:office:smarttags" w:element="address">
          <w:r>
            <w:rPr>
              <w:rFonts w:ascii="Arial" w:hAnsi="Arial"/>
              <w:sz w:val="20"/>
            </w:rPr>
            <w:t>Service Address Street</w:t>
          </w:r>
        </w:smartTag>
      </w:smartTag>
      <w:r>
        <w:rPr>
          <w:rFonts w:ascii="Arial" w:hAnsi="Arial"/>
          <w:sz w:val="20"/>
        </w:rPr>
        <w:t xml:space="preserve"> Type – ‘LN’</w:t>
      </w:r>
    </w:p>
    <w:p w:rsidR="000204CF" w:rsidRDefault="000204CF">
      <w:pPr>
        <w:pStyle w:val="BodyText2"/>
        <w:rPr>
          <w:rFonts w:ascii="Arial" w:hAnsi="Arial"/>
          <w:sz w:val="20"/>
        </w:rPr>
      </w:pPr>
      <w:r>
        <w:rPr>
          <w:rFonts w:ascii="Arial" w:hAnsi="Arial"/>
          <w:sz w:val="20"/>
        </w:rPr>
        <w:tab/>
      </w:r>
      <w:r>
        <w:rPr>
          <w:rFonts w:ascii="Arial" w:hAnsi="Arial"/>
          <w:b/>
          <w:bCs/>
          <w:sz w:val="20"/>
        </w:rPr>
        <w:t>SASS</w:t>
      </w:r>
      <w:r>
        <w:rPr>
          <w:rFonts w:ascii="Arial" w:hAnsi="Arial"/>
          <w:sz w:val="20"/>
        </w:rPr>
        <w:t xml:space="preserve"> – </w:t>
      </w:r>
      <w:smartTag w:uri="urn:schemas-microsoft-com:office:smarttags" w:element="Street">
        <w:smartTag w:uri="urn:schemas-microsoft-com:office:smarttags" w:element="address">
          <w:r>
            <w:rPr>
              <w:rFonts w:ascii="Arial" w:hAnsi="Arial"/>
              <w:sz w:val="20"/>
            </w:rPr>
            <w:t>Service Address Street</w:t>
          </w:r>
        </w:smartTag>
      </w:smartTag>
      <w:r>
        <w:rPr>
          <w:rFonts w:ascii="Arial" w:hAnsi="Arial"/>
          <w:sz w:val="20"/>
        </w:rPr>
        <w:t xml:space="preserve"> Directional Suffix – ‘ NW’</w:t>
      </w:r>
    </w:p>
    <w:p w:rsidR="000204CF" w:rsidRDefault="000204CF">
      <w:pPr>
        <w:pStyle w:val="BodyText2"/>
        <w:rPr>
          <w:rFonts w:ascii="Arial" w:hAnsi="Arial"/>
          <w:sz w:val="20"/>
        </w:rPr>
      </w:pPr>
      <w:r>
        <w:rPr>
          <w:rFonts w:ascii="Arial" w:hAnsi="Arial"/>
          <w:sz w:val="20"/>
        </w:rPr>
        <w:tab/>
      </w:r>
      <w:r>
        <w:rPr>
          <w:rFonts w:ascii="Arial" w:hAnsi="Arial"/>
          <w:b/>
          <w:bCs/>
          <w:sz w:val="20"/>
        </w:rPr>
        <w:t>LD1</w:t>
      </w:r>
      <w:r>
        <w:rPr>
          <w:rFonts w:ascii="Arial" w:hAnsi="Arial"/>
          <w:sz w:val="20"/>
        </w:rPr>
        <w:t xml:space="preserve"> – Location Designator 1 – ‘FL’</w:t>
      </w:r>
    </w:p>
    <w:p w:rsidR="000204CF" w:rsidRDefault="000204CF">
      <w:pPr>
        <w:pStyle w:val="BodyText2"/>
        <w:rPr>
          <w:rFonts w:ascii="Arial" w:hAnsi="Arial"/>
          <w:sz w:val="20"/>
        </w:rPr>
      </w:pPr>
      <w:r>
        <w:rPr>
          <w:rFonts w:ascii="Arial" w:hAnsi="Arial"/>
          <w:sz w:val="20"/>
        </w:rPr>
        <w:tab/>
      </w:r>
      <w:smartTag w:uri="urn:schemas-microsoft-com:office:smarttags" w:element="place">
        <w:smartTag w:uri="urn:schemas-microsoft-com:office:smarttags" w:element="City">
          <w:r>
            <w:rPr>
              <w:rFonts w:ascii="Arial" w:hAnsi="Arial"/>
              <w:b/>
              <w:bCs/>
              <w:sz w:val="20"/>
            </w:rPr>
            <w:t>LV</w:t>
          </w:r>
        </w:smartTag>
      </w:smartTag>
      <w:r>
        <w:rPr>
          <w:rFonts w:ascii="Arial" w:hAnsi="Arial"/>
          <w:b/>
          <w:bCs/>
          <w:sz w:val="20"/>
        </w:rPr>
        <w:t xml:space="preserve"> 1</w:t>
      </w:r>
      <w:r>
        <w:rPr>
          <w:rFonts w:ascii="Arial" w:hAnsi="Arial"/>
          <w:sz w:val="20"/>
        </w:rPr>
        <w:t xml:space="preserve"> – Location Value 1 – ‘12’</w:t>
      </w:r>
    </w:p>
    <w:p w:rsidR="000204CF" w:rsidRDefault="000204CF">
      <w:pPr>
        <w:pStyle w:val="BodyText2"/>
        <w:rPr>
          <w:rFonts w:ascii="Arial" w:hAnsi="Arial"/>
          <w:sz w:val="20"/>
        </w:rPr>
      </w:pPr>
      <w:r>
        <w:rPr>
          <w:rFonts w:ascii="Arial" w:hAnsi="Arial"/>
          <w:sz w:val="20"/>
        </w:rPr>
        <w:tab/>
      </w:r>
      <w:r>
        <w:rPr>
          <w:rFonts w:ascii="Arial" w:hAnsi="Arial"/>
          <w:b/>
          <w:bCs/>
          <w:sz w:val="20"/>
        </w:rPr>
        <w:t>LD2</w:t>
      </w:r>
      <w:r>
        <w:rPr>
          <w:rFonts w:ascii="Arial" w:hAnsi="Arial"/>
          <w:sz w:val="20"/>
        </w:rPr>
        <w:t xml:space="preserve"> – Location Designator 2 – ‘ BLDG.’</w:t>
      </w:r>
    </w:p>
    <w:p w:rsidR="000204CF" w:rsidRDefault="000204CF">
      <w:pPr>
        <w:pStyle w:val="BodyText2"/>
        <w:rPr>
          <w:rFonts w:ascii="Arial" w:hAnsi="Arial"/>
          <w:sz w:val="20"/>
        </w:rPr>
      </w:pPr>
      <w:r>
        <w:rPr>
          <w:rFonts w:ascii="Arial" w:hAnsi="Arial"/>
          <w:sz w:val="20"/>
        </w:rPr>
        <w:tab/>
      </w:r>
      <w:r>
        <w:rPr>
          <w:rFonts w:ascii="Arial" w:hAnsi="Arial"/>
          <w:b/>
          <w:bCs/>
          <w:sz w:val="20"/>
        </w:rPr>
        <w:t>LV2</w:t>
      </w:r>
      <w:r>
        <w:rPr>
          <w:rFonts w:ascii="Arial" w:hAnsi="Arial"/>
          <w:sz w:val="20"/>
        </w:rPr>
        <w:t xml:space="preserve"> – Location Value 2 – ‘2’</w:t>
      </w:r>
    </w:p>
    <w:p w:rsidR="000204CF" w:rsidRDefault="000204CF">
      <w:pPr>
        <w:pStyle w:val="BodyText2"/>
        <w:rPr>
          <w:rFonts w:ascii="Arial" w:hAnsi="Arial"/>
          <w:sz w:val="20"/>
        </w:rPr>
      </w:pPr>
      <w:r>
        <w:rPr>
          <w:rFonts w:ascii="Arial" w:hAnsi="Arial"/>
          <w:sz w:val="20"/>
        </w:rPr>
        <w:tab/>
      </w:r>
      <w:r>
        <w:rPr>
          <w:rFonts w:ascii="Arial" w:hAnsi="Arial"/>
          <w:b/>
          <w:bCs/>
          <w:sz w:val="20"/>
        </w:rPr>
        <w:t>LD3</w:t>
      </w:r>
      <w:r>
        <w:rPr>
          <w:rFonts w:ascii="Arial" w:hAnsi="Arial"/>
          <w:sz w:val="20"/>
        </w:rPr>
        <w:t xml:space="preserve"> – Location Designator 3 – ‘STE’</w:t>
      </w:r>
    </w:p>
    <w:p w:rsidR="000204CF" w:rsidRDefault="000204CF">
      <w:pPr>
        <w:pStyle w:val="BodyText2"/>
        <w:rPr>
          <w:rFonts w:ascii="Arial" w:hAnsi="Arial"/>
          <w:sz w:val="20"/>
        </w:rPr>
      </w:pPr>
      <w:r>
        <w:rPr>
          <w:rFonts w:ascii="Arial" w:hAnsi="Arial"/>
          <w:sz w:val="20"/>
        </w:rPr>
        <w:tab/>
      </w:r>
      <w:r>
        <w:rPr>
          <w:rFonts w:ascii="Arial" w:hAnsi="Arial"/>
          <w:b/>
          <w:bCs/>
          <w:sz w:val="20"/>
        </w:rPr>
        <w:t>LV3</w:t>
      </w:r>
      <w:r>
        <w:rPr>
          <w:rFonts w:ascii="Arial" w:hAnsi="Arial"/>
          <w:sz w:val="20"/>
        </w:rPr>
        <w:t xml:space="preserve"> – Location Value 3 – ‘23A’</w:t>
      </w:r>
    </w:p>
    <w:p w:rsidR="000204CF" w:rsidRDefault="000204CF">
      <w:pPr>
        <w:pStyle w:val="BodyText2"/>
        <w:rPr>
          <w:rFonts w:ascii="Arial" w:hAnsi="Arial"/>
          <w:sz w:val="20"/>
        </w:rPr>
      </w:pPr>
      <w:r>
        <w:rPr>
          <w:rFonts w:ascii="Arial" w:hAnsi="Arial"/>
          <w:sz w:val="20"/>
        </w:rPr>
        <w:tab/>
      </w:r>
      <w:r>
        <w:rPr>
          <w:rFonts w:ascii="Arial" w:hAnsi="Arial"/>
          <w:b/>
          <w:bCs/>
          <w:sz w:val="20"/>
        </w:rPr>
        <w:t>AAI</w:t>
      </w:r>
      <w:r>
        <w:rPr>
          <w:rFonts w:ascii="Arial" w:hAnsi="Arial"/>
          <w:sz w:val="20"/>
        </w:rPr>
        <w:t xml:space="preserve"> – Additional Address Information – ‘Trailer behind gas station’</w:t>
      </w:r>
    </w:p>
    <w:p w:rsidR="000204CF" w:rsidRDefault="000204CF">
      <w:pPr>
        <w:pStyle w:val="BodyText2"/>
        <w:rPr>
          <w:rFonts w:ascii="Arial" w:hAnsi="Arial"/>
          <w:sz w:val="20"/>
        </w:rPr>
      </w:pPr>
    </w:p>
    <w:p w:rsidR="000204CF" w:rsidRDefault="000204CF">
      <w:pPr>
        <w:pStyle w:val="BodyText2"/>
        <w:rPr>
          <w:rFonts w:ascii="Arial" w:hAnsi="Arial"/>
          <w:bCs/>
          <w:sz w:val="20"/>
        </w:rPr>
      </w:pPr>
      <w:r>
        <w:rPr>
          <w:rFonts w:ascii="Arial" w:hAnsi="Arial"/>
          <w:bCs/>
          <w:sz w:val="20"/>
        </w:rPr>
        <w:t>This information is required on an LSR, but is subject to edit rejection even when taken from a CSR</w:t>
      </w:r>
    </w:p>
    <w:p w:rsidR="000204CF" w:rsidRDefault="000204CF">
      <w:pPr>
        <w:pStyle w:val="BodyText2"/>
        <w:rPr>
          <w:rFonts w:ascii="Arial" w:hAnsi="Arial"/>
          <w:b/>
          <w:sz w:val="20"/>
        </w:rPr>
      </w:pPr>
      <w:r>
        <w:rPr>
          <w:rFonts w:ascii="Arial" w:hAnsi="Arial"/>
          <w:b/>
          <w:sz w:val="20"/>
        </w:rPr>
        <w:lastRenderedPageBreak/>
        <w:t>The TOS fields – Type Of Service on the Local Request form</w:t>
      </w:r>
    </w:p>
    <w:p w:rsidR="000204CF" w:rsidRDefault="000204CF">
      <w:pPr>
        <w:pStyle w:val="BodyText2"/>
        <w:rPr>
          <w:rFonts w:ascii="Arial" w:hAnsi="Arial"/>
          <w:b/>
          <w:sz w:val="20"/>
        </w:rPr>
      </w:pPr>
    </w:p>
    <w:p w:rsidR="000204CF" w:rsidRDefault="000204CF">
      <w:pPr>
        <w:pStyle w:val="BodyText2"/>
        <w:rPr>
          <w:rFonts w:ascii="Arial" w:hAnsi="Arial"/>
          <w:sz w:val="20"/>
        </w:rPr>
      </w:pPr>
      <w:r>
        <w:rPr>
          <w:rFonts w:ascii="Arial" w:hAnsi="Arial"/>
          <w:sz w:val="20"/>
        </w:rPr>
        <w:t xml:space="preserve">This field supports 4 different variables.  The first is ‘type’ and has 5 options, which are residential, business, government, coin or home office.  The second is ‘product’ and has 17 options, which include Single line, </w:t>
      </w:r>
      <w:proofErr w:type="spellStart"/>
      <w:r>
        <w:rPr>
          <w:rFonts w:ascii="Arial" w:hAnsi="Arial"/>
          <w:sz w:val="20"/>
        </w:rPr>
        <w:t>multi line</w:t>
      </w:r>
      <w:proofErr w:type="spellEnd"/>
      <w:r>
        <w:rPr>
          <w:rFonts w:ascii="Arial" w:hAnsi="Arial"/>
          <w:sz w:val="20"/>
        </w:rPr>
        <w:t xml:space="preserve">, Advanced Services, ISDN, Data Voice Shared, CENTRIX, PBX trunk and Not Applicable.  The third is ‘class’ and has 5 options, which are measured rate, flat rate, message, pre-pay overtime, and not applicable.  The forth is ‘characterization’ and includes foreign exchange, Semi-public, </w:t>
      </w:r>
      <w:smartTag w:uri="urn:schemas-microsoft-com:office:smarttags" w:element="place">
        <w:smartTag w:uri="urn:schemas-microsoft-com:office:smarttags" w:element="City">
          <w:r>
            <w:rPr>
              <w:rFonts w:ascii="Arial" w:hAnsi="Arial"/>
              <w:sz w:val="20"/>
            </w:rPr>
            <w:t>Normal</w:t>
          </w:r>
        </w:smartTag>
      </w:smartTag>
      <w:r>
        <w:rPr>
          <w:rFonts w:ascii="Arial" w:hAnsi="Arial"/>
          <w:sz w:val="20"/>
        </w:rPr>
        <w:t>, Prison Inmate, RCF, 800 Service, WATS, Hotel/Motel, Hospital and Not applicable.  This information is not available from the WPR.  In cases where these services have not been canceled, these ports are often rejected by ILECs.</w:t>
      </w:r>
    </w:p>
    <w:p w:rsidR="000204CF" w:rsidRDefault="000204CF">
      <w:pPr>
        <w:pStyle w:val="BodyText2"/>
        <w:rPr>
          <w:rFonts w:ascii="Arial" w:hAnsi="Arial"/>
          <w:sz w:val="20"/>
        </w:rPr>
      </w:pPr>
    </w:p>
    <w:p w:rsidR="000204CF" w:rsidRDefault="000204CF">
      <w:pPr>
        <w:pStyle w:val="BodyText2"/>
        <w:rPr>
          <w:rFonts w:ascii="Arial" w:hAnsi="Arial"/>
          <w:sz w:val="20"/>
        </w:rPr>
      </w:pPr>
      <w:r>
        <w:rPr>
          <w:rFonts w:ascii="Arial" w:hAnsi="Arial"/>
          <w:sz w:val="20"/>
        </w:rPr>
        <w:t>A recent FCC ruling in March 2005, Doc. No. 03-251, includes language prohibiting the rejection or delay of ports due to other services being on the line such as DSL.</w:t>
      </w:r>
    </w:p>
    <w:p w:rsidR="000204CF" w:rsidRDefault="000204CF">
      <w:pPr>
        <w:pStyle w:val="BodyText2"/>
        <w:rPr>
          <w:rFonts w:ascii="Arial" w:hAnsi="Arial"/>
          <w:sz w:val="20"/>
        </w:rPr>
      </w:pPr>
    </w:p>
    <w:p w:rsidR="000204CF" w:rsidRDefault="000204CF">
      <w:pPr>
        <w:pStyle w:val="BodyText2"/>
        <w:rPr>
          <w:rFonts w:ascii="Arial" w:hAnsi="Arial"/>
          <w:sz w:val="20"/>
        </w:rPr>
      </w:pPr>
      <w:r>
        <w:rPr>
          <w:rFonts w:ascii="Arial" w:hAnsi="Arial"/>
          <w:sz w:val="20"/>
        </w:rPr>
        <w:t>This information is often required on LSRs.  Some ILECs require that these services be canceled before a port may occur.  End users may inadvertently cancel the phone line service rendering the number no longer portable.</w:t>
      </w:r>
    </w:p>
    <w:p w:rsidR="000204CF" w:rsidRDefault="000204CF">
      <w:pPr>
        <w:pStyle w:val="BodyText2"/>
        <w:rPr>
          <w:rFonts w:ascii="Arial" w:hAnsi="Arial"/>
          <w:sz w:val="20"/>
        </w:rPr>
      </w:pPr>
    </w:p>
    <w:p w:rsidR="000204CF" w:rsidRDefault="000204CF">
      <w:pPr>
        <w:pStyle w:val="BodyText2"/>
        <w:rPr>
          <w:rFonts w:ascii="Arial" w:hAnsi="Arial" w:cs="Arial"/>
          <w:b/>
          <w:sz w:val="20"/>
        </w:rPr>
      </w:pPr>
      <w:r>
        <w:rPr>
          <w:rFonts w:ascii="Arial" w:hAnsi="Arial" w:cs="Arial"/>
          <w:b/>
          <w:sz w:val="20"/>
        </w:rPr>
        <w:t>The MI – The Migration Indicator on the Number Portability form</w:t>
      </w:r>
    </w:p>
    <w:p w:rsidR="000204CF" w:rsidRDefault="000204CF">
      <w:pPr>
        <w:pStyle w:val="BodyText2"/>
        <w:rPr>
          <w:sz w:val="20"/>
        </w:rPr>
      </w:pPr>
      <w:r>
        <w:rPr>
          <w:rFonts w:ascii="Arial" w:hAnsi="Arial" w:cs="Arial"/>
          <w:sz w:val="20"/>
        </w:rPr>
        <w:t>According to LSOG guidelines, the MI field is ‘</w:t>
      </w:r>
      <w:r>
        <w:rPr>
          <w:rFonts w:ascii="Arial" w:hAnsi="Arial" w:cs="Arial"/>
          <w:sz w:val="20"/>
          <w:u w:val="single"/>
        </w:rPr>
        <w:t>optional</w:t>
      </w:r>
      <w:r>
        <w:rPr>
          <w:rFonts w:ascii="Arial" w:hAnsi="Arial" w:cs="Arial"/>
          <w:sz w:val="20"/>
        </w:rPr>
        <w:t>’ when the ACT field is populated with ‘V’ for “Conversion of service to a new LSP” which is always the case when a number is porting.   The options when a number is porting is ‘A’ for “Partial migration converting lines/numbers to a new account”, and ‘B’ for “Full migration converting lines/numbers to a new account”.</w:t>
      </w:r>
      <w:r>
        <w:rPr>
          <w:rFonts w:ascii="Arial" w:hAnsi="Arial"/>
          <w:sz w:val="20"/>
        </w:rPr>
        <w:t xml:space="preserve">   This information is required on an LSR and is dependent on an end user’s decision to port one or some numbers on an account or all numbers on an account closing the account. </w:t>
      </w:r>
    </w:p>
    <w:p w:rsidR="000204CF" w:rsidRDefault="000204CF">
      <w:pPr>
        <w:rPr>
          <w:sz w:val="24"/>
        </w:rPr>
      </w:pPr>
    </w:p>
    <w:p w:rsidR="000204CF" w:rsidRDefault="000204CF">
      <w:pPr>
        <w:pStyle w:val="BodyText2"/>
        <w:numPr>
          <w:ilvl w:val="0"/>
          <w:numId w:val="4"/>
        </w:numPr>
        <w:rPr>
          <w:sz w:val="20"/>
        </w:rPr>
      </w:pPr>
      <w:r>
        <w:rPr>
          <w:sz w:val="20"/>
        </w:rPr>
        <w:t>Frequency of Occurrence:</w:t>
      </w:r>
    </w:p>
    <w:p w:rsidR="000204CF" w:rsidRDefault="000204CF">
      <w:pPr>
        <w:pStyle w:val="BodyText2"/>
        <w:rPr>
          <w:sz w:val="20"/>
        </w:rPr>
      </w:pPr>
    </w:p>
    <w:p w:rsidR="000204CF" w:rsidRDefault="000204CF">
      <w:pPr>
        <w:pStyle w:val="BodyText2"/>
        <w:outlineLvl w:val="0"/>
        <w:rPr>
          <w:sz w:val="20"/>
        </w:rPr>
      </w:pPr>
      <w:r>
        <w:rPr>
          <w:sz w:val="20"/>
        </w:rPr>
        <w:t>10 to 100 times daily</w:t>
      </w:r>
    </w:p>
    <w:p w:rsidR="000204CF" w:rsidRDefault="000204CF">
      <w:pPr>
        <w:rPr>
          <w:sz w:val="24"/>
        </w:rPr>
      </w:pPr>
    </w:p>
    <w:p w:rsidR="000204CF" w:rsidRDefault="000204CF">
      <w:pPr>
        <w:pStyle w:val="BodyText2"/>
        <w:numPr>
          <w:ilvl w:val="0"/>
          <w:numId w:val="1"/>
        </w:numPr>
        <w:rPr>
          <w:sz w:val="20"/>
        </w:rPr>
      </w:pPr>
      <w:r>
        <w:rPr>
          <w:sz w:val="20"/>
        </w:rPr>
        <w:t>NPAC Regions Impacted:</w:t>
      </w:r>
    </w:p>
    <w:p w:rsidR="000204CF" w:rsidRDefault="000204CF">
      <w:pPr>
        <w:pStyle w:val="BodyText2"/>
        <w:rPr>
          <w:sz w:val="20"/>
        </w:rPr>
      </w:pPr>
      <w:r>
        <w:rPr>
          <w:sz w:val="20"/>
        </w:rPr>
        <w:t xml:space="preserve"> Canada___ Mid Atlantic ___ Midwest___ Northeast___ Southeast___ Southwest___ Western___     </w:t>
      </w:r>
    </w:p>
    <w:p w:rsidR="000204CF" w:rsidRDefault="000204CF">
      <w:pPr>
        <w:pStyle w:val="BodyText2"/>
        <w:rPr>
          <w:sz w:val="20"/>
        </w:rPr>
      </w:pPr>
      <w:r>
        <w:rPr>
          <w:sz w:val="20"/>
        </w:rPr>
        <w:t xml:space="preserve"> </w:t>
      </w:r>
      <w:smartTag w:uri="urn:schemas-microsoft-com:office:smarttags" w:element="place">
        <w:r>
          <w:rPr>
            <w:sz w:val="20"/>
          </w:rPr>
          <w:t>West Coast___</w:t>
        </w:r>
      </w:smartTag>
      <w:r>
        <w:rPr>
          <w:sz w:val="20"/>
        </w:rPr>
        <w:t xml:space="preserve">  </w:t>
      </w:r>
      <w:proofErr w:type="spellStart"/>
      <w:r>
        <w:rPr>
          <w:sz w:val="20"/>
        </w:rPr>
        <w:t>ALL_x</w:t>
      </w:r>
      <w:proofErr w:type="spellEnd"/>
      <w:r>
        <w:rPr>
          <w:sz w:val="20"/>
        </w:rPr>
        <w:t>_</w:t>
      </w:r>
    </w:p>
    <w:p w:rsidR="000204CF" w:rsidRDefault="000204CF">
      <w:pPr>
        <w:rPr>
          <w:sz w:val="24"/>
        </w:rPr>
      </w:pPr>
    </w:p>
    <w:p w:rsidR="000204CF" w:rsidRDefault="000204CF">
      <w:pPr>
        <w:pStyle w:val="BodyText2"/>
        <w:numPr>
          <w:ilvl w:val="0"/>
          <w:numId w:val="1"/>
        </w:numPr>
        <w:pBdr>
          <w:bottom w:val="single" w:sz="4" w:space="0" w:color="auto"/>
        </w:pBdr>
        <w:rPr>
          <w:sz w:val="20"/>
        </w:rPr>
      </w:pPr>
      <w:r>
        <w:rPr>
          <w:sz w:val="20"/>
        </w:rPr>
        <w:t>Rationale why existing process is deficient: The current process causes ports to fail and substantial fall-out and manual processing.</w:t>
      </w:r>
    </w:p>
    <w:p w:rsidR="000204CF" w:rsidRDefault="000204CF">
      <w:pPr>
        <w:pStyle w:val="BodyText2"/>
        <w:pBdr>
          <w:bottom w:val="single" w:sz="4" w:space="0" w:color="auto"/>
        </w:pBdr>
        <w:rPr>
          <w:sz w:val="20"/>
        </w:rPr>
      </w:pPr>
    </w:p>
    <w:p w:rsidR="000204CF" w:rsidRDefault="000204CF">
      <w:pPr>
        <w:rPr>
          <w:sz w:val="24"/>
        </w:rPr>
      </w:pPr>
    </w:p>
    <w:p w:rsidR="000204CF" w:rsidRDefault="000204CF">
      <w:pPr>
        <w:rPr>
          <w:sz w:val="24"/>
        </w:rPr>
      </w:pPr>
    </w:p>
    <w:p w:rsidR="000204CF" w:rsidRDefault="000204CF">
      <w:pPr>
        <w:pStyle w:val="BodyText2"/>
        <w:numPr>
          <w:ilvl w:val="0"/>
          <w:numId w:val="1"/>
        </w:numPr>
        <w:rPr>
          <w:sz w:val="20"/>
        </w:rPr>
      </w:pPr>
      <w:r>
        <w:rPr>
          <w:sz w:val="20"/>
        </w:rPr>
        <w:t>Identify action taken in other committees / forums:  This could become moot if PIM 39 is first successful which would be to reduce the number of required validation fiel</w:t>
      </w:r>
      <w:r w:rsidR="00D4342E">
        <w:rPr>
          <w:sz w:val="20"/>
        </w:rPr>
        <w:t xml:space="preserve">ds to a small set.  This was </w:t>
      </w:r>
      <w:r>
        <w:rPr>
          <w:sz w:val="20"/>
        </w:rPr>
        <w:t xml:space="preserve">referred to the LSOP and the Intermodal Taskforce under ATIS.  The recommended that since they had already taken action to make these fields ‘optional’ there was noting that they could do.  They recommended that the issue be addressed directly with the ILEC’s who still require these fields. </w:t>
      </w:r>
    </w:p>
    <w:p w:rsidR="000204CF" w:rsidRDefault="000204CF">
      <w:pPr>
        <w:rPr>
          <w:sz w:val="24"/>
        </w:rPr>
      </w:pPr>
    </w:p>
    <w:p w:rsidR="000204CF" w:rsidRDefault="000204CF">
      <w:pPr>
        <w:pStyle w:val="BodyText2"/>
        <w:numPr>
          <w:ilvl w:val="0"/>
          <w:numId w:val="1"/>
        </w:numPr>
        <w:rPr>
          <w:sz w:val="20"/>
        </w:rPr>
      </w:pPr>
      <w:r>
        <w:rPr>
          <w:sz w:val="20"/>
        </w:rPr>
        <w:t>Any other descriptive items: __</w:t>
      </w:r>
    </w:p>
    <w:p w:rsidR="000204CF" w:rsidRDefault="000204CF">
      <w:pPr>
        <w:pStyle w:val="BodyText2"/>
        <w:rPr>
          <w:sz w:val="20"/>
        </w:rPr>
      </w:pPr>
      <w:r>
        <w:rPr>
          <w:sz w:val="20"/>
        </w:rPr>
        <w:t>__________________________________________________________________________________________________________________________________________________________________________</w:t>
      </w:r>
    </w:p>
    <w:p w:rsidR="000204CF" w:rsidRDefault="000204CF">
      <w:pPr>
        <w:rPr>
          <w:sz w:val="24"/>
        </w:rPr>
      </w:pPr>
    </w:p>
    <w:p w:rsidR="000204CF" w:rsidRDefault="000204CF">
      <w:pPr>
        <w:rPr>
          <w:sz w:val="24"/>
        </w:rPr>
      </w:pPr>
    </w:p>
    <w:p w:rsidR="000204CF" w:rsidRDefault="000204CF">
      <w:pPr>
        <w:rPr>
          <w:sz w:val="24"/>
        </w:rPr>
      </w:pPr>
    </w:p>
    <w:p w:rsidR="000204CF" w:rsidRDefault="000204CF">
      <w:pPr>
        <w:rPr>
          <w:sz w:val="24"/>
        </w:rPr>
      </w:pPr>
    </w:p>
    <w:p w:rsidR="000204CF" w:rsidRDefault="000204CF">
      <w:pPr>
        <w:numPr>
          <w:ilvl w:val="0"/>
          <w:numId w:val="2"/>
        </w:numPr>
        <w:rPr>
          <w:sz w:val="24"/>
        </w:rPr>
      </w:pPr>
      <w:r>
        <w:rPr>
          <w:b/>
          <w:sz w:val="24"/>
        </w:rPr>
        <w:t>Suggested Resolution:</w:t>
      </w:r>
      <w:r>
        <w:rPr>
          <w:sz w:val="24"/>
        </w:rPr>
        <w:t xml:space="preserve"> </w:t>
      </w:r>
    </w:p>
    <w:p w:rsidR="000204CF" w:rsidRDefault="000204CF">
      <w:pPr>
        <w:rPr>
          <w:sz w:val="24"/>
        </w:rPr>
      </w:pPr>
    </w:p>
    <w:p w:rsidR="000204CF" w:rsidRDefault="000204CF">
      <w:pPr>
        <w:rPr>
          <w:rFonts w:ascii="Arial" w:hAnsi="Arial"/>
        </w:rPr>
      </w:pPr>
    </w:p>
    <w:p w:rsidR="000204CF" w:rsidRDefault="000204CF">
      <w:pPr>
        <w:pStyle w:val="BodyText3"/>
        <w:rPr>
          <w:sz w:val="24"/>
        </w:rPr>
      </w:pPr>
      <w:r>
        <w:rPr>
          <w:sz w:val="24"/>
        </w:rPr>
        <w:t>The problem would be resolved if carriers did not require these optional fields identified above to be populated on LSRs for numbers porting from wireline to wireless.</w:t>
      </w:r>
    </w:p>
    <w:p w:rsidR="00D4342E" w:rsidRDefault="00D4342E">
      <w:pPr>
        <w:pStyle w:val="BodyText3"/>
        <w:rPr>
          <w:sz w:val="24"/>
        </w:rPr>
      </w:pPr>
    </w:p>
    <w:p w:rsidR="00D4342E" w:rsidRDefault="00D4342E">
      <w:pPr>
        <w:pStyle w:val="BodyText3"/>
        <w:rPr>
          <w:sz w:val="24"/>
        </w:rPr>
      </w:pPr>
      <w:r>
        <w:rPr>
          <w:sz w:val="24"/>
        </w:rPr>
        <w:t>As indicated in the attached correspondence from the OBF, “it was determined that no agreement could be reached within the Intermodal Subcommittee, consisting of ATIS OBF’s Wireless Committee and Local Service Ordering and Provisioning Committee, to resolve this issue due to the following factors:</w:t>
      </w:r>
    </w:p>
    <w:p w:rsidR="00D4342E" w:rsidRDefault="00D4342E" w:rsidP="00D4342E">
      <w:pPr>
        <w:pStyle w:val="BodyText3"/>
        <w:rPr>
          <w:sz w:val="24"/>
        </w:rPr>
      </w:pPr>
      <w:r>
        <w:rPr>
          <w:sz w:val="24"/>
        </w:rPr>
        <w:tab/>
        <w:t>o  LSOG is a guideline; however, implementation of the LSOG is not</w:t>
      </w:r>
    </w:p>
    <w:p w:rsidR="00D4342E" w:rsidRDefault="00D4342E" w:rsidP="00D4342E">
      <w:pPr>
        <w:pStyle w:val="BodyText3"/>
        <w:rPr>
          <w:sz w:val="24"/>
        </w:rPr>
      </w:pPr>
      <w:r>
        <w:rPr>
          <w:sz w:val="24"/>
        </w:rPr>
        <w:t xml:space="preserve">                standardized across wireline providers</w:t>
      </w:r>
    </w:p>
    <w:p w:rsidR="00D4342E" w:rsidRDefault="00D4342E" w:rsidP="00D4342E">
      <w:pPr>
        <w:pStyle w:val="BodyText3"/>
        <w:rPr>
          <w:sz w:val="24"/>
        </w:rPr>
      </w:pPr>
    </w:p>
    <w:p w:rsidR="00D4342E" w:rsidRDefault="00D4342E" w:rsidP="00D4342E">
      <w:pPr>
        <w:pStyle w:val="BodyText3"/>
        <w:rPr>
          <w:sz w:val="24"/>
        </w:rPr>
      </w:pPr>
      <w:r>
        <w:rPr>
          <w:sz w:val="24"/>
        </w:rPr>
        <w:t xml:space="preserve">     </w:t>
      </w:r>
      <w:r>
        <w:rPr>
          <w:sz w:val="24"/>
        </w:rPr>
        <w:tab/>
        <w:t xml:space="preserve">o  Wireline providers implement the LSOG based on their specific business   </w:t>
      </w:r>
    </w:p>
    <w:p w:rsidR="00D4342E" w:rsidRDefault="00D4342E" w:rsidP="00D4342E">
      <w:pPr>
        <w:pStyle w:val="BodyText3"/>
        <w:rPr>
          <w:sz w:val="24"/>
        </w:rPr>
      </w:pPr>
      <w:r>
        <w:rPr>
          <w:sz w:val="24"/>
        </w:rPr>
        <w:t xml:space="preserve">                 models/requirements.”</w:t>
      </w:r>
    </w:p>
    <w:p w:rsidR="00D4342E" w:rsidRDefault="00D4342E" w:rsidP="00D4342E">
      <w:pPr>
        <w:pStyle w:val="BodyText3"/>
        <w:rPr>
          <w:sz w:val="24"/>
        </w:rPr>
      </w:pPr>
    </w:p>
    <w:p w:rsidR="00D4342E" w:rsidRDefault="00D4342E">
      <w:pPr>
        <w:pStyle w:val="BodyText3"/>
        <w:rPr>
          <w:sz w:val="24"/>
        </w:rPr>
      </w:pPr>
      <w:r>
        <w:rPr>
          <w:sz w:val="24"/>
        </w:rPr>
        <w:t>As a result, the LNPA WG has placed this PIM in a tracking state awaiting FCC action on the T-Mobile/Sprint Nextel petition.</w:t>
      </w:r>
    </w:p>
    <w:p w:rsidR="00D4342E" w:rsidRDefault="00D4342E">
      <w:pPr>
        <w:pStyle w:val="BodyText3"/>
        <w:rPr>
          <w:sz w:val="24"/>
        </w:rPr>
      </w:pPr>
    </w:p>
    <w:p w:rsidR="00D4342E" w:rsidRDefault="00D4342E">
      <w:pPr>
        <w:pStyle w:val="BodyText3"/>
        <w:rPr>
          <w:sz w:val="24"/>
        </w:rPr>
      </w:pPr>
      <w:r w:rsidRPr="00D4342E">
        <w:rPr>
          <w:sz w:val="24"/>
        </w:rPr>
        <w:object w:dxaOrig="1536"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5pt" o:ole="">
            <v:imagedata r:id="rId7" o:title=""/>
          </v:shape>
          <o:OLEObject Type="Embed" ProgID="AcroExch.Document.DC" ShapeID="_x0000_i1025" DrawAspect="Icon" ObjectID="_1663592761" r:id="rId8"/>
        </w:object>
      </w:r>
    </w:p>
    <w:p w:rsidR="00D4342E" w:rsidRDefault="00D4342E">
      <w:pPr>
        <w:rPr>
          <w:sz w:val="24"/>
        </w:rPr>
      </w:pPr>
    </w:p>
    <w:p w:rsidR="00013F95" w:rsidRPr="00EE728F" w:rsidRDefault="00013F95" w:rsidP="00013F95">
      <w:pPr>
        <w:pStyle w:val="ListParagraph"/>
        <w:numPr>
          <w:ilvl w:val="0"/>
          <w:numId w:val="2"/>
        </w:numPr>
      </w:pPr>
      <w:r w:rsidRPr="009469C7">
        <w:rPr>
          <w:b/>
        </w:rPr>
        <w:t>Final Resolution:</w:t>
      </w:r>
    </w:p>
    <w:p w:rsidR="00013F95" w:rsidRPr="00EE728F" w:rsidRDefault="00013F95" w:rsidP="00013F95">
      <w:pPr>
        <w:ind w:left="360"/>
      </w:pPr>
    </w:p>
    <w:p w:rsidR="00013F95" w:rsidRPr="00EE728F" w:rsidRDefault="00013F95" w:rsidP="00013F95">
      <w:pPr>
        <w:pBdr>
          <w:top w:val="single" w:sz="4" w:space="1" w:color="auto"/>
          <w:left w:val="single" w:sz="4" w:space="18" w:color="auto"/>
          <w:bottom w:val="single" w:sz="4" w:space="1" w:color="auto"/>
          <w:right w:val="single" w:sz="4" w:space="4" w:color="auto"/>
          <w:bar w:val="single" w:sz="4" w:color="auto"/>
        </w:pBdr>
        <w:ind w:left="270"/>
      </w:pPr>
      <w:r w:rsidRPr="00013F95">
        <w:t xml:space="preserve">This PIM was referred to the OBF for consideration and was worked in the Inter-species Subcommittee (ISC) as Issue 2802.  The OBF ISC has closed Issue 2802 and </w:t>
      </w:r>
      <w:r w:rsidR="002C6AF2">
        <w:t>was</w:t>
      </w:r>
      <w:r w:rsidRPr="00013F95">
        <w:t xml:space="preserve"> worked under Issue 2943.  Wireless providers and Clearinghouse Vendors are continuing to work with wireline carriers and their respective change management processes through their Account Management to identify possible process enhancements.  PIM 42 was closed with the implementation of FCC 09-4</w:t>
      </w:r>
      <w:r>
        <w:t>1</w:t>
      </w:r>
      <w:r w:rsidRPr="002173A3">
        <w:t>.</w:t>
      </w:r>
      <w:r>
        <w:t xml:space="preserve"> </w:t>
      </w:r>
    </w:p>
    <w:p w:rsidR="00013F95" w:rsidRDefault="00013F95">
      <w:pPr>
        <w:rPr>
          <w:sz w:val="24"/>
        </w:rPr>
      </w:pPr>
    </w:p>
    <w:p w:rsidR="00013F95" w:rsidRDefault="00013F95">
      <w:pPr>
        <w:rPr>
          <w:sz w:val="24"/>
        </w:rPr>
      </w:pPr>
    </w:p>
    <w:p w:rsidR="000204CF" w:rsidRDefault="000204CF">
      <w:pPr>
        <w:pBdr>
          <w:top w:val="single" w:sz="4" w:space="1" w:color="auto"/>
          <w:left w:val="single" w:sz="4" w:space="4" w:color="auto"/>
          <w:bottom w:val="single" w:sz="4" w:space="1" w:color="auto"/>
          <w:right w:val="single" w:sz="4" w:space="4" w:color="auto"/>
        </w:pBdr>
        <w:shd w:val="pct10" w:color="000000" w:fill="FFFFFF"/>
        <w:outlineLvl w:val="0"/>
        <w:rPr>
          <w:sz w:val="24"/>
        </w:rPr>
      </w:pPr>
      <w:r>
        <w:rPr>
          <w:b/>
          <w:sz w:val="24"/>
          <w:u w:val="single"/>
        </w:rPr>
        <w:t>LNPA WG:</w:t>
      </w:r>
      <w:r>
        <w:rPr>
          <w:sz w:val="24"/>
        </w:rPr>
        <w:t xml:space="preserve"> (only)</w:t>
      </w:r>
      <w:r w:rsidR="00013F95">
        <w:rPr>
          <w:sz w:val="24"/>
        </w:rPr>
        <w:tab/>
      </w:r>
      <w:r w:rsidR="00013F95">
        <w:rPr>
          <w:sz w:val="24"/>
        </w:rPr>
        <w:tab/>
      </w:r>
      <w:r w:rsidR="00013F95">
        <w:rPr>
          <w:sz w:val="24"/>
        </w:rPr>
        <w:tab/>
      </w:r>
      <w:r w:rsidR="00013F95">
        <w:rPr>
          <w:sz w:val="24"/>
        </w:rPr>
        <w:tab/>
        <w:t>Final Resolution Date: 9/14/2010</w:t>
      </w:r>
    </w:p>
    <w:p w:rsidR="000204CF" w:rsidRDefault="00D4342E">
      <w:pPr>
        <w:pBdr>
          <w:top w:val="single" w:sz="4" w:space="1" w:color="auto"/>
          <w:left w:val="single" w:sz="4" w:space="4" w:color="auto"/>
          <w:bottom w:val="single" w:sz="4" w:space="1" w:color="auto"/>
          <w:right w:val="single" w:sz="4" w:space="4" w:color="auto"/>
        </w:pBdr>
        <w:shd w:val="pct10" w:color="000000" w:fill="FFFFFF"/>
        <w:outlineLvl w:val="0"/>
        <w:rPr>
          <w:sz w:val="24"/>
        </w:rPr>
      </w:pPr>
      <w:r>
        <w:rPr>
          <w:sz w:val="24"/>
        </w:rPr>
        <w:t>Item Number: 0042v</w:t>
      </w:r>
      <w:r w:rsidR="00013F95">
        <w:rPr>
          <w:sz w:val="24"/>
        </w:rPr>
        <w:t>4</w:t>
      </w:r>
      <w:r w:rsidR="00013F95">
        <w:rPr>
          <w:sz w:val="24"/>
        </w:rPr>
        <w:tab/>
      </w:r>
      <w:r w:rsidR="00013F95">
        <w:rPr>
          <w:sz w:val="24"/>
        </w:rPr>
        <w:tab/>
      </w:r>
      <w:r w:rsidR="00392849">
        <w:rPr>
          <w:sz w:val="24"/>
        </w:rPr>
        <w:tab/>
      </w:r>
      <w:bookmarkStart w:id="0" w:name="_GoBack"/>
      <w:bookmarkEnd w:id="0"/>
      <w:r w:rsidR="00013F95">
        <w:rPr>
          <w:sz w:val="24"/>
        </w:rPr>
        <w:tab/>
        <w:t>Related Documents:  FCC 09-41</w:t>
      </w:r>
    </w:p>
    <w:p w:rsidR="000204CF" w:rsidRDefault="000204CF">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to: </w:t>
      </w:r>
      <w:r w:rsidR="00D4342E" w:rsidRPr="00013F95">
        <w:rPr>
          <w:sz w:val="24"/>
        </w:rPr>
        <w:t>Ordering &amp; Billing Forum</w:t>
      </w:r>
    </w:p>
    <w:p w:rsidR="000204CF" w:rsidRDefault="000204CF">
      <w:pPr>
        <w:pBdr>
          <w:top w:val="single" w:sz="4" w:space="1" w:color="auto"/>
          <w:left w:val="single" w:sz="4" w:space="4" w:color="auto"/>
          <w:bottom w:val="single" w:sz="4" w:space="1" w:color="auto"/>
          <w:right w:val="single" w:sz="4" w:space="4" w:color="auto"/>
        </w:pBdr>
        <w:shd w:val="pct10" w:color="000000" w:fill="FFFFFF"/>
      </w:pPr>
      <w:r>
        <w:rPr>
          <w:sz w:val="24"/>
        </w:rPr>
        <w:t>Why Issue Referred:</w:t>
      </w:r>
      <w:r>
        <w:t xml:space="preserve"> </w:t>
      </w:r>
      <w:r>
        <w:rPr>
          <w:sz w:val="24"/>
        </w:rPr>
        <w:t xml:space="preserve"> </w:t>
      </w:r>
      <w:r w:rsidR="00D4342E">
        <w:rPr>
          <w:sz w:val="24"/>
        </w:rPr>
        <w:t>The Local Service Ordering Guidelin</w:t>
      </w:r>
      <w:r w:rsidR="006D00A0">
        <w:rPr>
          <w:sz w:val="24"/>
        </w:rPr>
        <w:t>e</w:t>
      </w:r>
      <w:r w:rsidR="00D4342E">
        <w:rPr>
          <w:sz w:val="24"/>
        </w:rPr>
        <w:t xml:space="preserve"> (LSOG) is within the purview of the OBF LSOP Committee. </w:t>
      </w:r>
      <w:r>
        <w:t>____________________________________________________________________________________________________________________________________________________________________________</w:t>
      </w:r>
    </w:p>
    <w:sectPr w:rsidR="000204CF">
      <w:headerReference w:type="default" r:id="rId9"/>
      <w:footerReference w:type="even" r:id="rId10"/>
      <w:footerReference w:type="default" r:id="rId11"/>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9B9" w:rsidRDefault="00D219B9">
      <w:r>
        <w:separator/>
      </w:r>
    </w:p>
  </w:endnote>
  <w:endnote w:type="continuationSeparator" w:id="0">
    <w:p w:rsidR="00D219B9" w:rsidRDefault="00D21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42E" w:rsidRDefault="00D434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4342E" w:rsidRDefault="00D434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42E" w:rsidRDefault="00D434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2849">
      <w:rPr>
        <w:rStyle w:val="PageNumber"/>
        <w:noProof/>
      </w:rPr>
      <w:t>3</w:t>
    </w:r>
    <w:r>
      <w:rPr>
        <w:rStyle w:val="PageNumber"/>
      </w:rPr>
      <w:fldChar w:fldCharType="end"/>
    </w:r>
  </w:p>
  <w:p w:rsidR="00D4342E" w:rsidRDefault="00D434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9B9" w:rsidRDefault="00D219B9">
      <w:r>
        <w:separator/>
      </w:r>
    </w:p>
  </w:footnote>
  <w:footnote w:type="continuationSeparator" w:id="0">
    <w:p w:rsidR="00D219B9" w:rsidRDefault="00D21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42E" w:rsidRDefault="00D4342E">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3C2DBD4"/>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lvlRestart w:val="0"/>
      <w:pStyle w:val="Heading3"/>
      <w:lvlText w:val="%3."/>
      <w:lvlJc w:val="left"/>
      <w:pPr>
        <w:tabs>
          <w:tab w:val="num" w:pos="360"/>
        </w:tabs>
        <w:ind w:left="0" w:firstLine="0"/>
      </w:pPr>
    </w:lvl>
    <w:lvl w:ilvl="3">
      <w:start w:val="1"/>
      <w:numFmt w:val="decimal"/>
      <w:pStyle w:val="Heading4"/>
      <w:lvlText w:val="%3..%4"/>
      <w:lvlJc w:val="left"/>
      <w:pPr>
        <w:tabs>
          <w:tab w:val="num" w:pos="0"/>
        </w:tabs>
        <w:ind w:left="0" w:firstLine="0"/>
      </w:pPr>
    </w:lvl>
    <w:lvl w:ilvl="4">
      <w:start w:val="1"/>
      <w:numFmt w:val="decimal"/>
      <w:pStyle w:val="Heading5"/>
      <w:lvlText w:val="%3..%4.%5"/>
      <w:lvlJc w:val="left"/>
      <w:pPr>
        <w:tabs>
          <w:tab w:val="num" w:pos="0"/>
        </w:tabs>
        <w:ind w:left="0" w:firstLine="0"/>
      </w:pPr>
    </w:lvl>
    <w:lvl w:ilvl="5">
      <w:start w:val="1"/>
      <w:numFmt w:val="decimal"/>
      <w:pStyle w:val="Heading6"/>
      <w:lvlText w:val="%3..%4.%5.%6"/>
      <w:lvlJc w:val="left"/>
      <w:pPr>
        <w:tabs>
          <w:tab w:val="num" w:pos="0"/>
        </w:tabs>
        <w:ind w:left="0" w:firstLine="0"/>
      </w:pPr>
    </w:lvl>
    <w:lvl w:ilvl="6">
      <w:start w:val="1"/>
      <w:numFmt w:val="decimal"/>
      <w:pStyle w:val="Heading7"/>
      <w:lvlText w:val="%3..%4.%5.%6.%7"/>
      <w:lvlJc w:val="left"/>
      <w:pPr>
        <w:tabs>
          <w:tab w:val="num" w:pos="0"/>
        </w:tabs>
        <w:ind w:left="0" w:firstLine="0"/>
      </w:pPr>
    </w:lvl>
    <w:lvl w:ilvl="7">
      <w:start w:val="1"/>
      <w:numFmt w:val="decimal"/>
      <w:pStyle w:val="Heading8"/>
      <w:lvlText w:val="%3..%4.%5.%6.%7.%8"/>
      <w:lvlJc w:val="left"/>
      <w:pPr>
        <w:tabs>
          <w:tab w:val="num" w:pos="0"/>
        </w:tabs>
        <w:ind w:left="0" w:firstLine="0"/>
      </w:pPr>
    </w:lvl>
    <w:lvl w:ilvl="8">
      <w:start w:val="1"/>
      <w:numFmt w:val="decimal"/>
      <w:pStyle w:val="Heading9"/>
      <w:lvlText w:val="%3..%4.%5.%6.%7.%8.%9"/>
      <w:lvlJc w:val="left"/>
      <w:pPr>
        <w:tabs>
          <w:tab w:val="num" w:pos="0"/>
        </w:tabs>
        <w:ind w:left="0" w:firstLine="0"/>
      </w:pPr>
    </w:lvl>
  </w:abstractNum>
  <w:abstractNum w:abstractNumId="1" w15:restartNumberingAfterBreak="0">
    <w:nsid w:val="0E131451"/>
    <w:multiLevelType w:val="hybridMultilevel"/>
    <w:tmpl w:val="5DE82976"/>
    <w:lvl w:ilvl="0" w:tplc="21204584">
      <w:start w:val="1"/>
      <w:numFmt w:val="decimal"/>
      <w:lvlText w:val="%1."/>
      <w:lvlJc w:val="left"/>
      <w:pPr>
        <w:tabs>
          <w:tab w:val="num" w:pos="720"/>
        </w:tabs>
        <w:ind w:left="720" w:hanging="360"/>
      </w:pPr>
      <w:rPr>
        <w:rFonts w:hint="default"/>
      </w:rPr>
    </w:lvl>
    <w:lvl w:ilvl="1" w:tplc="45D8CCD4" w:tentative="1">
      <w:start w:val="1"/>
      <w:numFmt w:val="lowerLetter"/>
      <w:lvlText w:val="%2."/>
      <w:lvlJc w:val="left"/>
      <w:pPr>
        <w:tabs>
          <w:tab w:val="num" w:pos="1440"/>
        </w:tabs>
        <w:ind w:left="1440" w:hanging="360"/>
      </w:pPr>
    </w:lvl>
    <w:lvl w:ilvl="2" w:tplc="565EE56C" w:tentative="1">
      <w:start w:val="1"/>
      <w:numFmt w:val="lowerRoman"/>
      <w:lvlText w:val="%3."/>
      <w:lvlJc w:val="right"/>
      <w:pPr>
        <w:tabs>
          <w:tab w:val="num" w:pos="2160"/>
        </w:tabs>
        <w:ind w:left="2160" w:hanging="180"/>
      </w:pPr>
    </w:lvl>
    <w:lvl w:ilvl="3" w:tplc="EED8615E" w:tentative="1">
      <w:start w:val="1"/>
      <w:numFmt w:val="decimal"/>
      <w:lvlText w:val="%4."/>
      <w:lvlJc w:val="left"/>
      <w:pPr>
        <w:tabs>
          <w:tab w:val="num" w:pos="2880"/>
        </w:tabs>
        <w:ind w:left="2880" w:hanging="360"/>
      </w:pPr>
    </w:lvl>
    <w:lvl w:ilvl="4" w:tplc="CB32B24C" w:tentative="1">
      <w:start w:val="1"/>
      <w:numFmt w:val="lowerLetter"/>
      <w:lvlText w:val="%5."/>
      <w:lvlJc w:val="left"/>
      <w:pPr>
        <w:tabs>
          <w:tab w:val="num" w:pos="3600"/>
        </w:tabs>
        <w:ind w:left="3600" w:hanging="360"/>
      </w:pPr>
    </w:lvl>
    <w:lvl w:ilvl="5" w:tplc="95AC6F32" w:tentative="1">
      <w:start w:val="1"/>
      <w:numFmt w:val="lowerRoman"/>
      <w:lvlText w:val="%6."/>
      <w:lvlJc w:val="right"/>
      <w:pPr>
        <w:tabs>
          <w:tab w:val="num" w:pos="4320"/>
        </w:tabs>
        <w:ind w:left="4320" w:hanging="180"/>
      </w:pPr>
    </w:lvl>
    <w:lvl w:ilvl="6" w:tplc="5C6C36FE" w:tentative="1">
      <w:start w:val="1"/>
      <w:numFmt w:val="decimal"/>
      <w:lvlText w:val="%7."/>
      <w:lvlJc w:val="left"/>
      <w:pPr>
        <w:tabs>
          <w:tab w:val="num" w:pos="5040"/>
        </w:tabs>
        <w:ind w:left="5040" w:hanging="360"/>
      </w:pPr>
    </w:lvl>
    <w:lvl w:ilvl="7" w:tplc="08FAA920" w:tentative="1">
      <w:start w:val="1"/>
      <w:numFmt w:val="lowerLetter"/>
      <w:lvlText w:val="%8."/>
      <w:lvlJc w:val="left"/>
      <w:pPr>
        <w:tabs>
          <w:tab w:val="num" w:pos="5760"/>
        </w:tabs>
        <w:ind w:left="5760" w:hanging="360"/>
      </w:pPr>
    </w:lvl>
    <w:lvl w:ilvl="8" w:tplc="BCAA529A" w:tentative="1">
      <w:start w:val="1"/>
      <w:numFmt w:val="lowerRoman"/>
      <w:lvlText w:val="%9."/>
      <w:lvlJc w:val="right"/>
      <w:pPr>
        <w:tabs>
          <w:tab w:val="num" w:pos="6480"/>
        </w:tabs>
        <w:ind w:left="6480" w:hanging="180"/>
      </w:pPr>
    </w:lvl>
  </w:abstractNum>
  <w:abstractNum w:abstractNumId="2"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3" w15:restartNumberingAfterBreak="0">
    <w:nsid w:val="20F643B2"/>
    <w:multiLevelType w:val="hybridMultilevel"/>
    <w:tmpl w:val="9606EC3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1B359BF"/>
    <w:multiLevelType w:val="hybridMultilevel"/>
    <w:tmpl w:val="7772CFDC"/>
    <w:lvl w:ilvl="0" w:tplc="63FE7CDA">
      <w:start w:val="1"/>
      <w:numFmt w:val="bullet"/>
      <w:lvlText w:val=""/>
      <w:lvlJc w:val="left"/>
      <w:pPr>
        <w:tabs>
          <w:tab w:val="num" w:pos="360"/>
        </w:tabs>
        <w:ind w:left="360" w:hanging="360"/>
      </w:pPr>
      <w:rPr>
        <w:rFonts w:ascii="Symbol" w:hAnsi="Symbol" w:hint="default"/>
      </w:rPr>
    </w:lvl>
    <w:lvl w:ilvl="1" w:tplc="2EA028E0" w:tentative="1">
      <w:start w:val="1"/>
      <w:numFmt w:val="bullet"/>
      <w:lvlText w:val="o"/>
      <w:lvlJc w:val="left"/>
      <w:pPr>
        <w:tabs>
          <w:tab w:val="num" w:pos="1080"/>
        </w:tabs>
        <w:ind w:left="1080" w:hanging="360"/>
      </w:pPr>
      <w:rPr>
        <w:rFonts w:ascii="Courier New" w:hAnsi="Courier New" w:hint="default"/>
      </w:rPr>
    </w:lvl>
    <w:lvl w:ilvl="2" w:tplc="8198321C" w:tentative="1">
      <w:start w:val="1"/>
      <w:numFmt w:val="bullet"/>
      <w:lvlText w:val=""/>
      <w:lvlJc w:val="left"/>
      <w:pPr>
        <w:tabs>
          <w:tab w:val="num" w:pos="1800"/>
        </w:tabs>
        <w:ind w:left="1800" w:hanging="360"/>
      </w:pPr>
      <w:rPr>
        <w:rFonts w:ascii="Wingdings" w:hAnsi="Wingdings" w:hint="default"/>
      </w:rPr>
    </w:lvl>
    <w:lvl w:ilvl="3" w:tplc="C2723084" w:tentative="1">
      <w:start w:val="1"/>
      <w:numFmt w:val="bullet"/>
      <w:lvlText w:val=""/>
      <w:lvlJc w:val="left"/>
      <w:pPr>
        <w:tabs>
          <w:tab w:val="num" w:pos="2520"/>
        </w:tabs>
        <w:ind w:left="2520" w:hanging="360"/>
      </w:pPr>
      <w:rPr>
        <w:rFonts w:ascii="Symbol" w:hAnsi="Symbol" w:hint="default"/>
      </w:rPr>
    </w:lvl>
    <w:lvl w:ilvl="4" w:tplc="A5309348" w:tentative="1">
      <w:start w:val="1"/>
      <w:numFmt w:val="bullet"/>
      <w:lvlText w:val="o"/>
      <w:lvlJc w:val="left"/>
      <w:pPr>
        <w:tabs>
          <w:tab w:val="num" w:pos="3240"/>
        </w:tabs>
        <w:ind w:left="3240" w:hanging="360"/>
      </w:pPr>
      <w:rPr>
        <w:rFonts w:ascii="Courier New" w:hAnsi="Courier New" w:hint="default"/>
      </w:rPr>
    </w:lvl>
    <w:lvl w:ilvl="5" w:tplc="9C60944E" w:tentative="1">
      <w:start w:val="1"/>
      <w:numFmt w:val="bullet"/>
      <w:lvlText w:val=""/>
      <w:lvlJc w:val="left"/>
      <w:pPr>
        <w:tabs>
          <w:tab w:val="num" w:pos="3960"/>
        </w:tabs>
        <w:ind w:left="3960" w:hanging="360"/>
      </w:pPr>
      <w:rPr>
        <w:rFonts w:ascii="Wingdings" w:hAnsi="Wingdings" w:hint="default"/>
      </w:rPr>
    </w:lvl>
    <w:lvl w:ilvl="6" w:tplc="0D1A0EFE" w:tentative="1">
      <w:start w:val="1"/>
      <w:numFmt w:val="bullet"/>
      <w:lvlText w:val=""/>
      <w:lvlJc w:val="left"/>
      <w:pPr>
        <w:tabs>
          <w:tab w:val="num" w:pos="4680"/>
        </w:tabs>
        <w:ind w:left="4680" w:hanging="360"/>
      </w:pPr>
      <w:rPr>
        <w:rFonts w:ascii="Symbol" w:hAnsi="Symbol" w:hint="default"/>
      </w:rPr>
    </w:lvl>
    <w:lvl w:ilvl="7" w:tplc="A5808924" w:tentative="1">
      <w:start w:val="1"/>
      <w:numFmt w:val="bullet"/>
      <w:lvlText w:val="o"/>
      <w:lvlJc w:val="left"/>
      <w:pPr>
        <w:tabs>
          <w:tab w:val="num" w:pos="5400"/>
        </w:tabs>
        <w:ind w:left="5400" w:hanging="360"/>
      </w:pPr>
      <w:rPr>
        <w:rFonts w:ascii="Courier New" w:hAnsi="Courier New" w:hint="default"/>
      </w:rPr>
    </w:lvl>
    <w:lvl w:ilvl="8" w:tplc="B76C242A"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6" w15:restartNumberingAfterBreak="0">
    <w:nsid w:val="45DF4E0F"/>
    <w:multiLevelType w:val="hybridMultilevel"/>
    <w:tmpl w:val="A900D13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61D40EC"/>
    <w:multiLevelType w:val="singleLevel"/>
    <w:tmpl w:val="04090015"/>
    <w:lvl w:ilvl="0">
      <w:start w:val="1"/>
      <w:numFmt w:val="upperLetter"/>
      <w:lvlText w:val="%1."/>
      <w:lvlJc w:val="left"/>
      <w:pPr>
        <w:tabs>
          <w:tab w:val="num" w:pos="360"/>
        </w:tabs>
        <w:ind w:left="360" w:hanging="360"/>
      </w:pPr>
      <w:rPr>
        <w:rFonts w:hint="default"/>
      </w:rPr>
    </w:lvl>
  </w:abstractNum>
  <w:abstractNum w:abstractNumId="8" w15:restartNumberingAfterBreak="0">
    <w:nsid w:val="724F232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75451B77"/>
    <w:multiLevelType w:val="hybridMultilevel"/>
    <w:tmpl w:val="D9065C84"/>
    <w:lvl w:ilvl="0" w:tplc="48787720">
      <w:start w:val="1"/>
      <w:numFmt w:val="bullet"/>
      <w:lvlText w:val=""/>
      <w:lvlJc w:val="left"/>
      <w:pPr>
        <w:tabs>
          <w:tab w:val="num" w:pos="1440"/>
        </w:tabs>
        <w:ind w:left="1440" w:hanging="360"/>
      </w:pPr>
      <w:rPr>
        <w:rFonts w:ascii="Symbol" w:hAnsi="Symbol" w:hint="default"/>
      </w:rPr>
    </w:lvl>
    <w:lvl w:ilvl="1" w:tplc="861C7722" w:tentative="1">
      <w:start w:val="1"/>
      <w:numFmt w:val="bullet"/>
      <w:lvlText w:val="o"/>
      <w:lvlJc w:val="left"/>
      <w:pPr>
        <w:tabs>
          <w:tab w:val="num" w:pos="2160"/>
        </w:tabs>
        <w:ind w:left="2160" w:hanging="360"/>
      </w:pPr>
      <w:rPr>
        <w:rFonts w:ascii="Courier New" w:hAnsi="Courier New" w:hint="default"/>
      </w:rPr>
    </w:lvl>
    <w:lvl w:ilvl="2" w:tplc="F59CF120" w:tentative="1">
      <w:start w:val="1"/>
      <w:numFmt w:val="bullet"/>
      <w:lvlText w:val=""/>
      <w:lvlJc w:val="left"/>
      <w:pPr>
        <w:tabs>
          <w:tab w:val="num" w:pos="2880"/>
        </w:tabs>
        <w:ind w:left="2880" w:hanging="360"/>
      </w:pPr>
      <w:rPr>
        <w:rFonts w:ascii="Wingdings" w:hAnsi="Wingdings" w:hint="default"/>
      </w:rPr>
    </w:lvl>
    <w:lvl w:ilvl="3" w:tplc="224C2A34" w:tentative="1">
      <w:start w:val="1"/>
      <w:numFmt w:val="bullet"/>
      <w:lvlText w:val=""/>
      <w:lvlJc w:val="left"/>
      <w:pPr>
        <w:tabs>
          <w:tab w:val="num" w:pos="3600"/>
        </w:tabs>
        <w:ind w:left="3600" w:hanging="360"/>
      </w:pPr>
      <w:rPr>
        <w:rFonts w:ascii="Symbol" w:hAnsi="Symbol" w:hint="default"/>
      </w:rPr>
    </w:lvl>
    <w:lvl w:ilvl="4" w:tplc="6E16B776" w:tentative="1">
      <w:start w:val="1"/>
      <w:numFmt w:val="bullet"/>
      <w:lvlText w:val="o"/>
      <w:lvlJc w:val="left"/>
      <w:pPr>
        <w:tabs>
          <w:tab w:val="num" w:pos="4320"/>
        </w:tabs>
        <w:ind w:left="4320" w:hanging="360"/>
      </w:pPr>
      <w:rPr>
        <w:rFonts w:ascii="Courier New" w:hAnsi="Courier New" w:hint="default"/>
      </w:rPr>
    </w:lvl>
    <w:lvl w:ilvl="5" w:tplc="BDB8F4CE" w:tentative="1">
      <w:start w:val="1"/>
      <w:numFmt w:val="bullet"/>
      <w:lvlText w:val=""/>
      <w:lvlJc w:val="left"/>
      <w:pPr>
        <w:tabs>
          <w:tab w:val="num" w:pos="5040"/>
        </w:tabs>
        <w:ind w:left="5040" w:hanging="360"/>
      </w:pPr>
      <w:rPr>
        <w:rFonts w:ascii="Wingdings" w:hAnsi="Wingdings" w:hint="default"/>
      </w:rPr>
    </w:lvl>
    <w:lvl w:ilvl="6" w:tplc="0D585BDE" w:tentative="1">
      <w:start w:val="1"/>
      <w:numFmt w:val="bullet"/>
      <w:lvlText w:val=""/>
      <w:lvlJc w:val="left"/>
      <w:pPr>
        <w:tabs>
          <w:tab w:val="num" w:pos="5760"/>
        </w:tabs>
        <w:ind w:left="5760" w:hanging="360"/>
      </w:pPr>
      <w:rPr>
        <w:rFonts w:ascii="Symbol" w:hAnsi="Symbol" w:hint="default"/>
      </w:rPr>
    </w:lvl>
    <w:lvl w:ilvl="7" w:tplc="C0C622E0" w:tentative="1">
      <w:start w:val="1"/>
      <w:numFmt w:val="bullet"/>
      <w:lvlText w:val="o"/>
      <w:lvlJc w:val="left"/>
      <w:pPr>
        <w:tabs>
          <w:tab w:val="num" w:pos="6480"/>
        </w:tabs>
        <w:ind w:left="6480" w:hanging="360"/>
      </w:pPr>
      <w:rPr>
        <w:rFonts w:ascii="Courier New" w:hAnsi="Courier New" w:hint="default"/>
      </w:rPr>
    </w:lvl>
    <w:lvl w:ilvl="8" w:tplc="2D522432"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5"/>
  </w:num>
  <w:num w:numId="2">
    <w:abstractNumId w:val="10"/>
  </w:num>
  <w:num w:numId="3">
    <w:abstractNumId w:val="2"/>
  </w:num>
  <w:num w:numId="4">
    <w:abstractNumId w:val="7"/>
  </w:num>
  <w:num w:numId="5">
    <w:abstractNumId w:val="8"/>
  </w:num>
  <w:num w:numId="6">
    <w:abstractNumId w:val="9"/>
  </w:num>
  <w:num w:numId="7">
    <w:abstractNumId w:val="4"/>
  </w:num>
  <w:num w:numId="8">
    <w:abstractNumId w:val="1"/>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EF"/>
    <w:rsid w:val="00013F95"/>
    <w:rsid w:val="000204CF"/>
    <w:rsid w:val="002C6AF2"/>
    <w:rsid w:val="003557EF"/>
    <w:rsid w:val="00392849"/>
    <w:rsid w:val="003F2AF0"/>
    <w:rsid w:val="0040069B"/>
    <w:rsid w:val="00637C38"/>
    <w:rsid w:val="006D00A0"/>
    <w:rsid w:val="00720916"/>
    <w:rsid w:val="00D219B9"/>
    <w:rsid w:val="00D43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373B17B0"/>
  <w15:chartTrackingRefBased/>
  <w15:docId w15:val="{0CF05A02-06E7-4DDF-919D-CA0D52858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next w:val="Normal"/>
    <w:qFormat/>
    <w:pPr>
      <w:keepNext/>
      <w:numPr>
        <w:numId w:val="9"/>
      </w:numPr>
      <w:tabs>
        <w:tab w:val="left" w:pos="1080"/>
      </w:tabs>
      <w:spacing w:after="240"/>
      <w:jc w:val="both"/>
      <w:outlineLvl w:val="0"/>
    </w:pPr>
    <w:rPr>
      <w:rFonts w:ascii="Bookman Old Style" w:hAnsi="Bookman Old Style"/>
      <w:b/>
      <w:kern w:val="24"/>
      <w:sz w:val="24"/>
    </w:rPr>
  </w:style>
  <w:style w:type="paragraph" w:styleId="Heading2">
    <w:name w:val="heading 2"/>
    <w:aliases w:val="h2"/>
    <w:basedOn w:val="Normal"/>
    <w:next w:val="Normal"/>
    <w:qFormat/>
    <w:pPr>
      <w:keepNext/>
      <w:numPr>
        <w:ilvl w:val="1"/>
        <w:numId w:val="9"/>
      </w:numPr>
      <w:tabs>
        <w:tab w:val="left" w:pos="1080"/>
      </w:tabs>
      <w:spacing w:before="240" w:after="240"/>
      <w:jc w:val="both"/>
      <w:outlineLvl w:val="1"/>
    </w:pPr>
    <w:rPr>
      <w:rFonts w:ascii="Bookman Old Style" w:hAnsi="Bookman Old Style"/>
      <w:b/>
      <w:sz w:val="24"/>
    </w:rPr>
  </w:style>
  <w:style w:type="paragraph" w:styleId="Heading3">
    <w:name w:val="heading 3"/>
    <w:aliases w:val="h3"/>
    <w:basedOn w:val="Normal"/>
    <w:next w:val="Normal"/>
    <w:qFormat/>
    <w:pPr>
      <w:keepNext/>
      <w:numPr>
        <w:ilvl w:val="2"/>
        <w:numId w:val="9"/>
      </w:numPr>
      <w:tabs>
        <w:tab w:val="left" w:pos="900"/>
        <w:tab w:val="left" w:pos="1080"/>
      </w:tabs>
      <w:jc w:val="both"/>
      <w:outlineLvl w:val="2"/>
    </w:pPr>
    <w:rPr>
      <w:rFonts w:ascii="Bookman Old Style" w:hAnsi="Bookman Old Style"/>
      <w:b/>
      <w:sz w:val="24"/>
    </w:rPr>
  </w:style>
  <w:style w:type="paragraph" w:styleId="Heading4">
    <w:name w:val="heading 4"/>
    <w:aliases w:val="h4"/>
    <w:basedOn w:val="Normal"/>
    <w:next w:val="Normal"/>
    <w:qFormat/>
    <w:pPr>
      <w:keepNext/>
      <w:numPr>
        <w:ilvl w:val="3"/>
        <w:numId w:val="9"/>
      </w:numPr>
      <w:tabs>
        <w:tab w:val="left" w:pos="1080"/>
      </w:tabs>
      <w:spacing w:before="240" w:after="60"/>
      <w:jc w:val="both"/>
      <w:outlineLvl w:val="3"/>
    </w:pPr>
    <w:rPr>
      <w:rFonts w:ascii="Arial" w:hAnsi="Arial"/>
      <w:b/>
      <w:sz w:val="24"/>
    </w:rPr>
  </w:style>
  <w:style w:type="paragraph" w:styleId="Heading5">
    <w:name w:val="heading 5"/>
    <w:basedOn w:val="Normal"/>
    <w:next w:val="Normal"/>
    <w:qFormat/>
    <w:pPr>
      <w:numPr>
        <w:ilvl w:val="4"/>
        <w:numId w:val="9"/>
      </w:numPr>
      <w:tabs>
        <w:tab w:val="left" w:pos="1080"/>
      </w:tabs>
      <w:spacing w:before="240" w:after="60"/>
      <w:jc w:val="both"/>
      <w:outlineLvl w:val="4"/>
    </w:pPr>
    <w:rPr>
      <w:rFonts w:ascii="Arial" w:hAnsi="Arial"/>
      <w:sz w:val="22"/>
    </w:rPr>
  </w:style>
  <w:style w:type="paragraph" w:styleId="Heading6">
    <w:name w:val="heading 6"/>
    <w:basedOn w:val="Normal"/>
    <w:next w:val="Normal"/>
    <w:qFormat/>
    <w:pPr>
      <w:numPr>
        <w:ilvl w:val="5"/>
        <w:numId w:val="9"/>
      </w:numPr>
      <w:tabs>
        <w:tab w:val="left" w:pos="1080"/>
      </w:tabs>
      <w:spacing w:before="240" w:after="60"/>
      <w:jc w:val="both"/>
      <w:outlineLvl w:val="5"/>
    </w:pPr>
    <w:rPr>
      <w:i/>
      <w:sz w:val="22"/>
    </w:rPr>
  </w:style>
  <w:style w:type="paragraph" w:styleId="Heading7">
    <w:name w:val="heading 7"/>
    <w:basedOn w:val="Normal"/>
    <w:next w:val="Normal"/>
    <w:qFormat/>
    <w:pPr>
      <w:numPr>
        <w:ilvl w:val="6"/>
        <w:numId w:val="9"/>
      </w:numPr>
      <w:tabs>
        <w:tab w:val="left" w:pos="1080"/>
      </w:tabs>
      <w:spacing w:before="240" w:after="60"/>
      <w:jc w:val="both"/>
      <w:outlineLvl w:val="6"/>
    </w:pPr>
    <w:rPr>
      <w:rFonts w:ascii="Arial" w:hAnsi="Arial"/>
    </w:rPr>
  </w:style>
  <w:style w:type="paragraph" w:styleId="Heading8">
    <w:name w:val="heading 8"/>
    <w:basedOn w:val="Normal"/>
    <w:next w:val="Normal"/>
    <w:qFormat/>
    <w:pPr>
      <w:numPr>
        <w:ilvl w:val="7"/>
        <w:numId w:val="9"/>
      </w:numPr>
      <w:tabs>
        <w:tab w:val="left" w:pos="1080"/>
      </w:tabs>
      <w:spacing w:before="240" w:after="60"/>
      <w:jc w:val="both"/>
      <w:outlineLvl w:val="7"/>
    </w:pPr>
    <w:rPr>
      <w:rFonts w:ascii="Arial" w:hAnsi="Arial"/>
      <w:i/>
    </w:rPr>
  </w:style>
  <w:style w:type="paragraph" w:styleId="Heading9">
    <w:name w:val="heading 9"/>
    <w:basedOn w:val="Normal"/>
    <w:next w:val="Normal"/>
    <w:qFormat/>
    <w:pPr>
      <w:numPr>
        <w:ilvl w:val="8"/>
        <w:numId w:val="9"/>
      </w:numPr>
      <w:tabs>
        <w:tab w:val="left" w:pos="1080"/>
      </w:tabs>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pBdr>
        <w:top w:val="single" w:sz="4" w:space="1" w:color="auto"/>
        <w:left w:val="single" w:sz="4" w:space="4" w:color="auto"/>
        <w:bottom w:val="single" w:sz="4" w:space="1" w:color="auto"/>
        <w:right w:val="single" w:sz="4" w:space="4" w:color="auto"/>
      </w:pBdr>
    </w:pPr>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1"/>
    <w:qFormat/>
    <w:rsid w:val="00013F95"/>
    <w:pPr>
      <w:widowControl w:val="0"/>
      <w:autoSpaceDE w:val="0"/>
      <w:autoSpaceDN w:val="0"/>
      <w:adjustRightInd w:val="0"/>
      <w:ind w:left="562" w:hanging="36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Dave Garner</dc:creator>
  <cp:keywords/>
  <cp:lastModifiedBy>Doherty, Michael</cp:lastModifiedBy>
  <cp:revision>4</cp:revision>
  <cp:lastPrinted>1999-05-19T19:58:00Z</cp:lastPrinted>
  <dcterms:created xsi:type="dcterms:W3CDTF">2020-09-22T19:19:00Z</dcterms:created>
  <dcterms:modified xsi:type="dcterms:W3CDTF">2020-10-07T20:18:00Z</dcterms:modified>
</cp:coreProperties>
</file>