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5F" w:rsidRDefault="008F4A5F">
      <w:pPr>
        <w:pStyle w:val="Title"/>
        <w:shd w:val="clear" w:color="auto" w:fill="C0C0C0"/>
      </w:pPr>
      <w:r>
        <w:t>LNP Problem/Issue Identification and Description Form</w:t>
      </w:r>
    </w:p>
    <w:p w:rsidR="008F4A5F" w:rsidRDefault="008F4A5F">
      <w:pPr>
        <w:rPr>
          <w:sz w:val="24"/>
        </w:rPr>
      </w:pPr>
    </w:p>
    <w:p w:rsidR="008F4A5F" w:rsidRDefault="008F4A5F">
      <w:pPr>
        <w:rPr>
          <w:sz w:val="24"/>
        </w:rPr>
      </w:pPr>
    </w:p>
    <w:p w:rsidR="008F4A5F" w:rsidRPr="007A71FE" w:rsidRDefault="008F4A5F">
      <w:pPr>
        <w:pBdr>
          <w:top w:val="single" w:sz="4" w:space="1" w:color="auto"/>
          <w:left w:val="single" w:sz="4" w:space="4" w:color="auto"/>
          <w:bottom w:val="single" w:sz="4" w:space="1" w:color="auto"/>
          <w:right w:val="single" w:sz="4" w:space="4" w:color="auto"/>
        </w:pBdr>
        <w:rPr>
          <w:b/>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w:t>
      </w:r>
      <w:r w:rsidR="00DF4861">
        <w:rPr>
          <w:sz w:val="24"/>
        </w:rPr>
        <w:t>08/18</w:t>
      </w:r>
      <w:r w:rsidR="00ED41BD">
        <w:rPr>
          <w:sz w:val="24"/>
        </w:rPr>
        <w:t>/2008</w:t>
      </w:r>
      <w:r w:rsidR="007A71FE">
        <w:rPr>
          <w:sz w:val="24"/>
        </w:rPr>
        <w:t xml:space="preserve">                                             </w:t>
      </w:r>
      <w:r w:rsidR="0001779C">
        <w:rPr>
          <w:sz w:val="24"/>
        </w:rPr>
        <w:t xml:space="preserve">   </w:t>
      </w:r>
      <w:r w:rsidR="007B16E7">
        <w:rPr>
          <w:b/>
          <w:sz w:val="24"/>
        </w:rPr>
        <w:t>PIM</w:t>
      </w:r>
      <w:r w:rsidR="00E655BD">
        <w:rPr>
          <w:sz w:val="24"/>
        </w:rPr>
        <w:t xml:space="preserve"> </w:t>
      </w:r>
      <w:r w:rsidR="002120D7">
        <w:rPr>
          <w:sz w:val="24"/>
        </w:rPr>
        <w:t>68 v</w:t>
      </w:r>
      <w:r w:rsidR="008A012A">
        <w:rPr>
          <w:sz w:val="24"/>
        </w:rPr>
        <w:t>6</w:t>
      </w:r>
      <w:r w:rsidR="0001779C">
        <w:rPr>
          <w:sz w:val="24"/>
        </w:rPr>
        <w:t xml:space="preserve">       </w:t>
      </w:r>
      <w:r w:rsidR="007A71FE">
        <w:rPr>
          <w:sz w:val="24"/>
        </w:rPr>
        <w:t xml:space="preserve">           </w:t>
      </w:r>
    </w:p>
    <w:p w:rsidR="00CA4B0C" w:rsidRDefault="008F4A5F">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w:t>
      </w:r>
      <w:r w:rsidR="00490BCD">
        <w:rPr>
          <w:sz w:val="24"/>
        </w:rPr>
        <w:t xml:space="preserve"> </w:t>
      </w:r>
      <w:r w:rsidR="00366E50">
        <w:rPr>
          <w:sz w:val="24"/>
        </w:rPr>
        <w:t>AT&amp;T Mobility</w:t>
      </w:r>
    </w:p>
    <w:p w:rsidR="00BB57FE" w:rsidRDefault="008F4A5F">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366E50">
        <w:rPr>
          <w:sz w:val="24"/>
        </w:rPr>
        <w:t>Renee Dillon</w:t>
      </w:r>
    </w:p>
    <w:p w:rsidR="00BB57FE" w:rsidRDefault="008F4A5F">
      <w:pPr>
        <w:pBdr>
          <w:top w:val="single" w:sz="4" w:space="1" w:color="auto"/>
          <w:left w:val="single" w:sz="4" w:space="4" w:color="auto"/>
          <w:bottom w:val="single" w:sz="4" w:space="1" w:color="auto"/>
          <w:right w:val="single" w:sz="4" w:space="4" w:color="auto"/>
        </w:pBdr>
        <w:rPr>
          <w:sz w:val="24"/>
        </w:rPr>
      </w:pPr>
      <w:r>
        <w:rPr>
          <w:b/>
          <w:sz w:val="24"/>
        </w:rPr>
        <w:t>Contact Number</w:t>
      </w:r>
      <w:r>
        <w:rPr>
          <w:sz w:val="24"/>
        </w:rPr>
        <w:t xml:space="preserve"> </w:t>
      </w:r>
      <w:r w:rsidR="00366E50">
        <w:rPr>
          <w:sz w:val="24"/>
        </w:rPr>
        <w:t>425-288-6053</w:t>
      </w:r>
    </w:p>
    <w:p w:rsidR="008F4A5F" w:rsidRDefault="008F4A5F">
      <w:pPr>
        <w:pBdr>
          <w:top w:val="single" w:sz="4" w:space="1" w:color="auto"/>
          <w:left w:val="single" w:sz="4" w:space="4" w:color="auto"/>
          <w:bottom w:val="single" w:sz="4" w:space="1" w:color="auto"/>
          <w:right w:val="single" w:sz="4" w:space="4" w:color="auto"/>
        </w:pBdr>
        <w:rPr>
          <w:sz w:val="24"/>
        </w:rPr>
      </w:pPr>
      <w:r>
        <w:rPr>
          <w:b/>
          <w:sz w:val="24"/>
        </w:rPr>
        <w:t>Email Address</w:t>
      </w:r>
      <w:r>
        <w:rPr>
          <w:sz w:val="24"/>
        </w:rPr>
        <w:t xml:space="preserve">   </w:t>
      </w:r>
      <w:r w:rsidR="00366E50">
        <w:rPr>
          <w:sz w:val="24"/>
        </w:rPr>
        <w:t>rd9317@att.com</w:t>
      </w:r>
      <w:r w:rsidR="00490BCD">
        <w:rPr>
          <w:sz w:val="24"/>
        </w:rPr>
        <w:t xml:space="preserve"> </w:t>
      </w:r>
      <w:r>
        <w:rPr>
          <w:sz w:val="24"/>
        </w:rPr>
        <w:t>______________________________________________</w:t>
      </w:r>
    </w:p>
    <w:p w:rsidR="008F4A5F" w:rsidRDefault="008F4A5F">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8F4A5F" w:rsidRDefault="008F4A5F">
      <w:pPr>
        <w:rPr>
          <w:sz w:val="24"/>
          <w:u w:val="single"/>
        </w:rPr>
      </w:pPr>
    </w:p>
    <w:p w:rsidR="008F4A5F" w:rsidRDefault="008F4A5F">
      <w:pPr>
        <w:rPr>
          <w:sz w:val="24"/>
          <w:u w:val="single"/>
        </w:rPr>
      </w:pPr>
    </w:p>
    <w:p w:rsidR="008F4A5F" w:rsidRDefault="008F4A5F">
      <w:pPr>
        <w:numPr>
          <w:ilvl w:val="0"/>
          <w:numId w:val="3"/>
        </w:numPr>
        <w:rPr>
          <w:sz w:val="16"/>
        </w:rPr>
      </w:pPr>
      <w:r>
        <w:rPr>
          <w:b/>
          <w:sz w:val="24"/>
        </w:rPr>
        <w:t>Problem/Issue Statement:</w:t>
      </w:r>
      <w:r>
        <w:rPr>
          <w:sz w:val="24"/>
        </w:rPr>
        <w:t xml:space="preserve"> </w:t>
      </w:r>
      <w:r>
        <w:rPr>
          <w:sz w:val="16"/>
        </w:rPr>
        <w:t>(Brief statement outlining the problem/issue.)</w:t>
      </w:r>
    </w:p>
    <w:p w:rsidR="00604325" w:rsidRDefault="00604325" w:rsidP="00604325">
      <w:pPr>
        <w:rPr>
          <w:sz w:val="16"/>
        </w:rPr>
      </w:pPr>
    </w:p>
    <w:p w:rsidR="00ED41BD" w:rsidRPr="00604325" w:rsidRDefault="0068270B" w:rsidP="00ED41BD">
      <w:pPr>
        <w:pStyle w:val="BodyText2"/>
        <w:rPr>
          <w:sz w:val="22"/>
          <w:szCs w:val="22"/>
        </w:rPr>
      </w:pPr>
      <w:r>
        <w:rPr>
          <w:sz w:val="22"/>
          <w:szCs w:val="22"/>
        </w:rPr>
        <w:t>A carrier</w:t>
      </w:r>
      <w:r w:rsidR="00366E50">
        <w:rPr>
          <w:sz w:val="22"/>
          <w:szCs w:val="22"/>
        </w:rPr>
        <w:t xml:space="preserve"> creat</w:t>
      </w:r>
      <w:r w:rsidR="002A5613">
        <w:rPr>
          <w:sz w:val="22"/>
          <w:szCs w:val="22"/>
        </w:rPr>
        <w:t>ed</w:t>
      </w:r>
      <w:r>
        <w:rPr>
          <w:sz w:val="22"/>
          <w:szCs w:val="22"/>
        </w:rPr>
        <w:t xml:space="preserve"> </w:t>
      </w:r>
      <w:r w:rsidR="002A5613">
        <w:rPr>
          <w:sz w:val="22"/>
          <w:szCs w:val="22"/>
        </w:rPr>
        <w:t xml:space="preserve">a very large quantity of </w:t>
      </w:r>
      <w:r>
        <w:rPr>
          <w:sz w:val="22"/>
          <w:szCs w:val="22"/>
        </w:rPr>
        <w:t xml:space="preserve">ISP </w:t>
      </w:r>
      <w:r w:rsidR="00366E50">
        <w:rPr>
          <w:sz w:val="22"/>
          <w:szCs w:val="22"/>
        </w:rPr>
        <w:t>subscription versions</w:t>
      </w:r>
      <w:r>
        <w:rPr>
          <w:sz w:val="22"/>
          <w:szCs w:val="22"/>
        </w:rPr>
        <w:t xml:space="preserve"> (aka TN ports)</w:t>
      </w:r>
      <w:r w:rsidR="00366E50">
        <w:rPr>
          <w:sz w:val="22"/>
          <w:szCs w:val="22"/>
        </w:rPr>
        <w:t xml:space="preserve"> in </w:t>
      </w:r>
      <w:r w:rsidR="002A5613">
        <w:rPr>
          <w:sz w:val="22"/>
          <w:szCs w:val="22"/>
        </w:rPr>
        <w:t xml:space="preserve">their pooled 1K </w:t>
      </w:r>
      <w:r w:rsidR="00366E50">
        <w:rPr>
          <w:sz w:val="22"/>
          <w:szCs w:val="22"/>
        </w:rPr>
        <w:t>block</w:t>
      </w:r>
      <w:r w:rsidR="002A5613">
        <w:rPr>
          <w:sz w:val="22"/>
          <w:szCs w:val="22"/>
        </w:rPr>
        <w:t>s</w:t>
      </w:r>
      <w:r w:rsidR="00366E50">
        <w:rPr>
          <w:sz w:val="22"/>
          <w:szCs w:val="22"/>
        </w:rPr>
        <w:t xml:space="preserve"> with the same </w:t>
      </w:r>
      <w:r w:rsidR="002A5613">
        <w:rPr>
          <w:sz w:val="22"/>
          <w:szCs w:val="22"/>
        </w:rPr>
        <w:t xml:space="preserve">routing </w:t>
      </w:r>
      <w:r w:rsidR="00366E50">
        <w:rPr>
          <w:sz w:val="22"/>
          <w:szCs w:val="22"/>
        </w:rPr>
        <w:t>information carried at the bloc</w:t>
      </w:r>
      <w:r w:rsidR="00781184">
        <w:rPr>
          <w:sz w:val="22"/>
          <w:szCs w:val="22"/>
        </w:rPr>
        <w:t>k level</w:t>
      </w:r>
      <w:r w:rsidR="0034504A">
        <w:rPr>
          <w:sz w:val="22"/>
          <w:szCs w:val="22"/>
        </w:rPr>
        <w:t xml:space="preserve"> over a short </w:t>
      </w:r>
      <w:r w:rsidR="002B5D37">
        <w:rPr>
          <w:sz w:val="22"/>
          <w:szCs w:val="22"/>
        </w:rPr>
        <w:t>time period</w:t>
      </w:r>
      <w:r w:rsidR="00781184">
        <w:rPr>
          <w:sz w:val="22"/>
          <w:szCs w:val="22"/>
        </w:rPr>
        <w:t xml:space="preserve">, </w:t>
      </w:r>
      <w:proofErr w:type="gramStart"/>
      <w:r w:rsidR="00781184">
        <w:rPr>
          <w:sz w:val="22"/>
          <w:szCs w:val="22"/>
        </w:rPr>
        <w:t>causing</w:t>
      </w:r>
      <w:proofErr w:type="gramEnd"/>
      <w:r w:rsidR="00781184">
        <w:rPr>
          <w:sz w:val="22"/>
          <w:szCs w:val="22"/>
        </w:rPr>
        <w:t xml:space="preserve"> a </w:t>
      </w:r>
      <w:r w:rsidR="002A5613">
        <w:rPr>
          <w:sz w:val="22"/>
          <w:szCs w:val="22"/>
        </w:rPr>
        <w:t>significant</w:t>
      </w:r>
      <w:r w:rsidR="00781184">
        <w:rPr>
          <w:sz w:val="22"/>
          <w:szCs w:val="22"/>
        </w:rPr>
        <w:t xml:space="preserve"> </w:t>
      </w:r>
      <w:r w:rsidR="00366E50">
        <w:rPr>
          <w:sz w:val="22"/>
          <w:szCs w:val="22"/>
        </w:rPr>
        <w:t xml:space="preserve">increase in ports and leading to a performance and capacity issue for </w:t>
      </w:r>
      <w:r w:rsidR="002A5613">
        <w:rPr>
          <w:sz w:val="22"/>
          <w:szCs w:val="22"/>
        </w:rPr>
        <w:t xml:space="preserve">a number of </w:t>
      </w:r>
      <w:r w:rsidR="00366E50">
        <w:rPr>
          <w:sz w:val="22"/>
          <w:szCs w:val="22"/>
        </w:rPr>
        <w:t>Industry LSMS’s.</w:t>
      </w:r>
      <w:r w:rsidR="000144B5" w:rsidRPr="00604325">
        <w:rPr>
          <w:sz w:val="22"/>
          <w:szCs w:val="22"/>
        </w:rPr>
        <w:t xml:space="preserve">  </w:t>
      </w:r>
    </w:p>
    <w:p w:rsidR="00A31CC2" w:rsidRPr="00A31CC2" w:rsidRDefault="00A31CC2">
      <w:pPr>
        <w:rPr>
          <w:sz w:val="24"/>
        </w:rPr>
      </w:pPr>
    </w:p>
    <w:p w:rsidR="008F4A5F" w:rsidRDefault="008F4A5F">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DE3C80" w:rsidRDefault="00DE3C80" w:rsidP="00DE3C80">
      <w:pPr>
        <w:autoSpaceDE w:val="0"/>
        <w:autoSpaceDN w:val="0"/>
        <w:adjustRightInd w:val="0"/>
        <w:rPr>
          <w:rFonts w:ascii="Arial" w:hAnsi="Arial" w:cs="Arial"/>
          <w:color w:val="0000FF"/>
          <w:sz w:val="22"/>
          <w:szCs w:val="22"/>
        </w:rPr>
      </w:pPr>
    </w:p>
    <w:p w:rsidR="008F4A5F" w:rsidRDefault="00366E50" w:rsidP="00DE3C80">
      <w:pPr>
        <w:pStyle w:val="BodyText2"/>
        <w:pBdr>
          <w:top w:val="single" w:sz="4" w:space="0" w:color="auto"/>
        </w:pBdr>
        <w:rPr>
          <w:sz w:val="22"/>
          <w:szCs w:val="22"/>
        </w:rPr>
      </w:pPr>
      <w:r>
        <w:rPr>
          <w:sz w:val="22"/>
          <w:szCs w:val="22"/>
        </w:rPr>
        <w:t xml:space="preserve">With the introduction of number pooling in 2003, an entire 1k block </w:t>
      </w:r>
      <w:proofErr w:type="gramStart"/>
      <w:r>
        <w:rPr>
          <w:sz w:val="22"/>
          <w:szCs w:val="22"/>
        </w:rPr>
        <w:t>can be provisioned</w:t>
      </w:r>
      <w:proofErr w:type="gramEnd"/>
      <w:r>
        <w:rPr>
          <w:sz w:val="22"/>
          <w:szCs w:val="22"/>
        </w:rPr>
        <w:t xml:space="preserve"> to an individual carrier. All appropr</w:t>
      </w:r>
      <w:r w:rsidR="00326C66">
        <w:rPr>
          <w:sz w:val="22"/>
          <w:szCs w:val="22"/>
        </w:rPr>
        <w:t>iate routing information can be stored</w:t>
      </w:r>
      <w:r>
        <w:rPr>
          <w:sz w:val="22"/>
          <w:szCs w:val="22"/>
        </w:rPr>
        <w:t xml:space="preserve"> </w:t>
      </w:r>
      <w:r w:rsidR="002C31B4">
        <w:rPr>
          <w:sz w:val="22"/>
          <w:szCs w:val="22"/>
        </w:rPr>
        <w:t xml:space="preserve">in carrier systems </w:t>
      </w:r>
      <w:r>
        <w:rPr>
          <w:sz w:val="22"/>
          <w:szCs w:val="22"/>
        </w:rPr>
        <w:t>at the NPA-NXX-X level, overriding the code holder’s routing details for the block. Porting an individual TN stil</w:t>
      </w:r>
      <w:r w:rsidR="008F7022">
        <w:rPr>
          <w:sz w:val="22"/>
          <w:szCs w:val="22"/>
        </w:rPr>
        <w:t>l works within this paradigm to</w:t>
      </w:r>
      <w:r>
        <w:rPr>
          <w:sz w:val="22"/>
          <w:szCs w:val="22"/>
        </w:rPr>
        <w:t xml:space="preserve"> </w:t>
      </w:r>
      <w:r w:rsidR="008F7022">
        <w:rPr>
          <w:sz w:val="22"/>
          <w:szCs w:val="22"/>
        </w:rPr>
        <w:t>allow</w:t>
      </w:r>
      <w:r>
        <w:rPr>
          <w:sz w:val="22"/>
          <w:szCs w:val="22"/>
        </w:rPr>
        <w:t xml:space="preserve"> for routing at the TN level</w:t>
      </w:r>
      <w:r w:rsidR="00326C66">
        <w:rPr>
          <w:sz w:val="22"/>
          <w:szCs w:val="22"/>
        </w:rPr>
        <w:t xml:space="preserve"> if</w:t>
      </w:r>
      <w:r w:rsidR="008F7022">
        <w:rPr>
          <w:sz w:val="22"/>
          <w:szCs w:val="22"/>
        </w:rPr>
        <w:t xml:space="preserve"> it </w:t>
      </w:r>
      <w:proofErr w:type="gramStart"/>
      <w:r w:rsidR="008F7022">
        <w:rPr>
          <w:sz w:val="22"/>
          <w:szCs w:val="22"/>
        </w:rPr>
        <w:t>would be needed</w:t>
      </w:r>
      <w:proofErr w:type="gramEnd"/>
      <w:r w:rsidR="008F7022">
        <w:rPr>
          <w:sz w:val="22"/>
          <w:szCs w:val="22"/>
        </w:rPr>
        <w:t xml:space="preserve"> to differentiate from the block level.</w:t>
      </w:r>
    </w:p>
    <w:p w:rsidR="002A5613" w:rsidRDefault="002A5613" w:rsidP="00DE3C80">
      <w:pPr>
        <w:pStyle w:val="BodyText2"/>
        <w:pBdr>
          <w:top w:val="single" w:sz="4" w:space="0" w:color="auto"/>
        </w:pBdr>
        <w:rPr>
          <w:sz w:val="22"/>
          <w:szCs w:val="22"/>
        </w:rPr>
      </w:pPr>
    </w:p>
    <w:p w:rsidR="008F7022" w:rsidRDefault="008F7022" w:rsidP="00DE3C80">
      <w:pPr>
        <w:pStyle w:val="BodyText2"/>
        <w:pBdr>
          <w:top w:val="single" w:sz="4" w:space="0" w:color="auto"/>
        </w:pBdr>
        <w:rPr>
          <w:sz w:val="22"/>
          <w:szCs w:val="22"/>
        </w:rPr>
      </w:pPr>
      <w:r>
        <w:rPr>
          <w:sz w:val="22"/>
          <w:szCs w:val="22"/>
        </w:rPr>
        <w:t xml:space="preserve">Recently, a carrier has begun </w:t>
      </w:r>
      <w:r w:rsidR="002A5613">
        <w:rPr>
          <w:sz w:val="22"/>
          <w:szCs w:val="22"/>
        </w:rPr>
        <w:t xml:space="preserve">breaking out individual SVs from </w:t>
      </w:r>
      <w:r>
        <w:rPr>
          <w:sz w:val="22"/>
          <w:szCs w:val="22"/>
        </w:rPr>
        <w:t xml:space="preserve">a large number of </w:t>
      </w:r>
      <w:r w:rsidR="002A5613">
        <w:rPr>
          <w:sz w:val="22"/>
          <w:szCs w:val="22"/>
        </w:rPr>
        <w:t>their pooled 1K</w:t>
      </w:r>
      <w:r>
        <w:rPr>
          <w:sz w:val="22"/>
          <w:szCs w:val="22"/>
        </w:rPr>
        <w:t xml:space="preserve"> blocks to the same routing information (LRN etc.) </w:t>
      </w:r>
      <w:r w:rsidR="002A5613">
        <w:rPr>
          <w:sz w:val="22"/>
          <w:szCs w:val="22"/>
        </w:rPr>
        <w:t>in order to prepare for an upcoming network migration</w:t>
      </w:r>
      <w:r>
        <w:rPr>
          <w:sz w:val="22"/>
          <w:szCs w:val="22"/>
        </w:rPr>
        <w:t xml:space="preserve">. This </w:t>
      </w:r>
      <w:r w:rsidR="002A5613">
        <w:rPr>
          <w:sz w:val="22"/>
          <w:szCs w:val="22"/>
        </w:rPr>
        <w:t>led</w:t>
      </w:r>
      <w:r>
        <w:rPr>
          <w:sz w:val="22"/>
          <w:szCs w:val="22"/>
        </w:rPr>
        <w:t xml:space="preserve"> to a large growth in the size of LSMS</w:t>
      </w:r>
      <w:r w:rsidR="00FA7DEC">
        <w:rPr>
          <w:sz w:val="22"/>
          <w:szCs w:val="22"/>
        </w:rPr>
        <w:t xml:space="preserve"> instances across the industry</w:t>
      </w:r>
      <w:r>
        <w:rPr>
          <w:sz w:val="22"/>
          <w:szCs w:val="22"/>
        </w:rPr>
        <w:t xml:space="preserve"> </w:t>
      </w:r>
      <w:r w:rsidR="00FA7DEC">
        <w:rPr>
          <w:sz w:val="22"/>
          <w:szCs w:val="22"/>
        </w:rPr>
        <w:t xml:space="preserve">as it receives </w:t>
      </w:r>
      <w:r w:rsidR="002A5613">
        <w:rPr>
          <w:sz w:val="22"/>
          <w:szCs w:val="22"/>
        </w:rPr>
        <w:t>these individual SV records</w:t>
      </w:r>
      <w:r w:rsidR="00FA7DEC">
        <w:rPr>
          <w:sz w:val="22"/>
          <w:szCs w:val="22"/>
        </w:rPr>
        <w:t>. This result</w:t>
      </w:r>
      <w:r w:rsidR="002A5613">
        <w:rPr>
          <w:sz w:val="22"/>
          <w:szCs w:val="22"/>
        </w:rPr>
        <w:t>ed</w:t>
      </w:r>
      <w:r w:rsidR="00FA7DEC">
        <w:rPr>
          <w:sz w:val="22"/>
          <w:szCs w:val="22"/>
        </w:rPr>
        <w:t xml:space="preserve"> in capacity and performance concerns for </w:t>
      </w:r>
      <w:r w:rsidR="002A5613">
        <w:rPr>
          <w:sz w:val="22"/>
          <w:szCs w:val="22"/>
        </w:rPr>
        <w:t>many</w:t>
      </w:r>
      <w:r w:rsidR="00FA7DEC">
        <w:rPr>
          <w:sz w:val="22"/>
          <w:szCs w:val="22"/>
        </w:rPr>
        <w:t xml:space="preserve"> LSMS service providers based on the</w:t>
      </w:r>
      <w:r w:rsidR="002A5613">
        <w:rPr>
          <w:sz w:val="22"/>
          <w:szCs w:val="22"/>
        </w:rPr>
        <w:t>se</w:t>
      </w:r>
      <w:r w:rsidR="00FA7DEC">
        <w:rPr>
          <w:sz w:val="22"/>
          <w:szCs w:val="22"/>
        </w:rPr>
        <w:t xml:space="preserve"> actions.</w:t>
      </w:r>
    </w:p>
    <w:p w:rsidR="00F52C93" w:rsidRDefault="00F52C93" w:rsidP="00DE3C80">
      <w:pPr>
        <w:pStyle w:val="BodyText2"/>
        <w:pBdr>
          <w:top w:val="single" w:sz="4" w:space="0" w:color="auto"/>
        </w:pBdr>
        <w:rPr>
          <w:sz w:val="22"/>
          <w:szCs w:val="22"/>
        </w:rPr>
      </w:pPr>
    </w:p>
    <w:p w:rsidR="00F52C93" w:rsidRDefault="00F52C93" w:rsidP="00DE3C80">
      <w:pPr>
        <w:pStyle w:val="BodyText2"/>
        <w:pBdr>
          <w:top w:val="single" w:sz="4" w:space="0" w:color="auto"/>
        </w:pBdr>
        <w:rPr>
          <w:sz w:val="22"/>
          <w:szCs w:val="22"/>
        </w:rPr>
      </w:pPr>
      <w:r>
        <w:rPr>
          <w:sz w:val="22"/>
          <w:szCs w:val="22"/>
        </w:rPr>
        <w:t xml:space="preserve">Additional </w:t>
      </w:r>
      <w:r w:rsidR="002A5613">
        <w:rPr>
          <w:sz w:val="22"/>
          <w:szCs w:val="22"/>
        </w:rPr>
        <w:t>analysis</w:t>
      </w:r>
      <w:r>
        <w:rPr>
          <w:sz w:val="22"/>
          <w:szCs w:val="22"/>
        </w:rPr>
        <w:t xml:space="preserve"> show</w:t>
      </w:r>
      <w:r w:rsidR="002A5613">
        <w:rPr>
          <w:sz w:val="22"/>
          <w:szCs w:val="22"/>
        </w:rPr>
        <w:t>ed</w:t>
      </w:r>
      <w:r>
        <w:rPr>
          <w:sz w:val="22"/>
          <w:szCs w:val="22"/>
        </w:rPr>
        <w:t xml:space="preserve"> that the only difference between the Subscription version entr</w:t>
      </w:r>
      <w:r w:rsidR="00326C66">
        <w:rPr>
          <w:sz w:val="22"/>
          <w:szCs w:val="22"/>
        </w:rPr>
        <w:t>ies and Pooled Block entries were</w:t>
      </w:r>
      <w:r>
        <w:rPr>
          <w:sz w:val="22"/>
          <w:szCs w:val="22"/>
        </w:rPr>
        <w:t xml:space="preserve"> on </w:t>
      </w:r>
      <w:r w:rsidR="002A5613">
        <w:rPr>
          <w:sz w:val="22"/>
          <w:szCs w:val="22"/>
        </w:rPr>
        <w:t>three</w:t>
      </w:r>
      <w:r>
        <w:rPr>
          <w:sz w:val="22"/>
          <w:szCs w:val="22"/>
        </w:rPr>
        <w:t xml:space="preserve"> fields</w:t>
      </w:r>
      <w:proofErr w:type="gramStart"/>
      <w:r>
        <w:rPr>
          <w:sz w:val="22"/>
          <w:szCs w:val="22"/>
        </w:rPr>
        <w:t>;</w:t>
      </w:r>
      <w:proofErr w:type="gramEnd"/>
      <w:r>
        <w:rPr>
          <w:sz w:val="22"/>
          <w:szCs w:val="22"/>
        </w:rPr>
        <w:t xml:space="preserve"> </w:t>
      </w:r>
      <w:proofErr w:type="spellStart"/>
      <w:r>
        <w:rPr>
          <w:sz w:val="22"/>
          <w:szCs w:val="22"/>
        </w:rPr>
        <w:t>EndUserLocationValue</w:t>
      </w:r>
      <w:proofErr w:type="spellEnd"/>
      <w:r w:rsidR="002A5613">
        <w:rPr>
          <w:sz w:val="22"/>
          <w:szCs w:val="22"/>
        </w:rPr>
        <w:t>,</w:t>
      </w:r>
      <w:r>
        <w:rPr>
          <w:sz w:val="22"/>
          <w:szCs w:val="22"/>
        </w:rPr>
        <w:t xml:space="preserve"> </w:t>
      </w:r>
      <w:proofErr w:type="spellStart"/>
      <w:r>
        <w:rPr>
          <w:sz w:val="22"/>
          <w:szCs w:val="22"/>
        </w:rPr>
        <w:t>EndUserLocationType</w:t>
      </w:r>
      <w:proofErr w:type="spellEnd"/>
      <w:r w:rsidR="002A5613">
        <w:rPr>
          <w:sz w:val="22"/>
          <w:szCs w:val="22"/>
        </w:rPr>
        <w:t>, and Billing ID</w:t>
      </w:r>
      <w:r w:rsidR="002C31B4">
        <w:rPr>
          <w:sz w:val="22"/>
          <w:szCs w:val="22"/>
        </w:rPr>
        <w:t>, which are not available at the block level</w:t>
      </w:r>
      <w:r w:rsidR="00326C66">
        <w:rPr>
          <w:sz w:val="22"/>
          <w:szCs w:val="22"/>
        </w:rPr>
        <w:t>.</w:t>
      </w:r>
    </w:p>
    <w:p w:rsidR="00366E50" w:rsidRPr="00604325" w:rsidRDefault="00366E50" w:rsidP="00DE3C80">
      <w:pPr>
        <w:pStyle w:val="BodyText2"/>
        <w:pBdr>
          <w:top w:val="single" w:sz="4" w:space="0" w:color="auto"/>
        </w:pBdr>
        <w:rPr>
          <w:sz w:val="22"/>
          <w:szCs w:val="22"/>
        </w:rPr>
      </w:pPr>
    </w:p>
    <w:p w:rsidR="008F4A5F" w:rsidRDefault="008F4A5F">
      <w:pPr>
        <w:rPr>
          <w:sz w:val="24"/>
        </w:rPr>
      </w:pPr>
    </w:p>
    <w:p w:rsidR="008F4A5F" w:rsidRPr="005C5EBF" w:rsidRDefault="008F4A5F">
      <w:pPr>
        <w:pStyle w:val="BodyText2"/>
        <w:rPr>
          <w:sz w:val="22"/>
          <w:szCs w:val="22"/>
        </w:rPr>
      </w:pPr>
      <w:r w:rsidRPr="005C5EBF">
        <w:rPr>
          <w:sz w:val="22"/>
          <w:szCs w:val="22"/>
        </w:rPr>
        <w:t xml:space="preserve">B.   Frequency of Occurrence: </w:t>
      </w:r>
      <w:r w:rsidR="00CA4B0C" w:rsidRPr="005C5EBF">
        <w:rPr>
          <w:sz w:val="22"/>
          <w:szCs w:val="22"/>
        </w:rPr>
        <w:t xml:space="preserve"> </w:t>
      </w:r>
      <w:r w:rsidR="00FA7DEC">
        <w:rPr>
          <w:sz w:val="22"/>
          <w:szCs w:val="22"/>
        </w:rPr>
        <w:t xml:space="preserve">Estimated </w:t>
      </w:r>
      <w:proofErr w:type="gramStart"/>
      <w:r w:rsidR="00FA7DEC">
        <w:rPr>
          <w:sz w:val="22"/>
          <w:szCs w:val="22"/>
        </w:rPr>
        <w:t>over 9 Million ports may have been performed by one carrier</w:t>
      </w:r>
      <w:proofErr w:type="gramEnd"/>
      <w:r w:rsidR="00FC71AC">
        <w:rPr>
          <w:sz w:val="22"/>
          <w:szCs w:val="22"/>
        </w:rPr>
        <w:t>.</w:t>
      </w:r>
    </w:p>
    <w:p w:rsidR="008F4A5F" w:rsidRDefault="008F4A5F">
      <w:pPr>
        <w:rPr>
          <w:sz w:val="24"/>
        </w:rPr>
      </w:pPr>
    </w:p>
    <w:p w:rsidR="008F4A5F" w:rsidRDefault="008F4A5F">
      <w:pPr>
        <w:pStyle w:val="BodyText2"/>
        <w:numPr>
          <w:ilvl w:val="0"/>
          <w:numId w:val="1"/>
        </w:numPr>
        <w:rPr>
          <w:sz w:val="20"/>
        </w:rPr>
      </w:pPr>
      <w:r>
        <w:rPr>
          <w:sz w:val="20"/>
        </w:rPr>
        <w:t>NPAC Regions Impacted:</w:t>
      </w:r>
    </w:p>
    <w:p w:rsidR="008F4A5F" w:rsidRDefault="008F4A5F">
      <w:pPr>
        <w:pStyle w:val="BodyText2"/>
        <w:rPr>
          <w:sz w:val="20"/>
        </w:rPr>
      </w:pPr>
      <w:r>
        <w:rPr>
          <w:sz w:val="20"/>
        </w:rPr>
        <w:t xml:space="preserve"> Canada___ Mid Atlantic </w:t>
      </w:r>
      <w:proofErr w:type="gramStart"/>
      <w:r w:rsidR="000144B5" w:rsidRPr="000144B5">
        <w:rPr>
          <w:sz w:val="20"/>
          <w:u w:val="single"/>
        </w:rPr>
        <w:t>X</w:t>
      </w:r>
      <w:r w:rsidR="000144B5">
        <w:rPr>
          <w:sz w:val="20"/>
        </w:rPr>
        <w:t xml:space="preserve"> </w:t>
      </w:r>
      <w:r>
        <w:rPr>
          <w:sz w:val="20"/>
        </w:rPr>
        <w:t xml:space="preserve"> </w:t>
      </w:r>
      <w:smartTag w:uri="urn:schemas-microsoft-com:office:smarttags" w:element="place">
        <w:r>
          <w:rPr>
            <w:sz w:val="20"/>
          </w:rPr>
          <w:t>Midwest</w:t>
        </w:r>
      </w:smartTag>
      <w:proofErr w:type="gramEnd"/>
      <w:r w:rsidR="000144B5">
        <w:rPr>
          <w:sz w:val="20"/>
        </w:rPr>
        <w:t xml:space="preserve"> </w:t>
      </w:r>
      <w:r w:rsidR="000144B5" w:rsidRPr="000144B5">
        <w:rPr>
          <w:sz w:val="20"/>
          <w:u w:val="single"/>
        </w:rPr>
        <w:t>X</w:t>
      </w:r>
      <w:r>
        <w:rPr>
          <w:sz w:val="20"/>
        </w:rPr>
        <w:t xml:space="preserve"> Northeast</w:t>
      </w:r>
      <w:r w:rsidR="000144B5" w:rsidRPr="000144B5">
        <w:rPr>
          <w:sz w:val="20"/>
          <w:u w:val="single"/>
        </w:rPr>
        <w:t xml:space="preserve"> X</w:t>
      </w:r>
      <w:r w:rsidR="000144B5">
        <w:rPr>
          <w:sz w:val="20"/>
        </w:rPr>
        <w:t xml:space="preserve"> </w:t>
      </w:r>
      <w:r>
        <w:rPr>
          <w:sz w:val="20"/>
        </w:rPr>
        <w:t xml:space="preserve"> Southeast</w:t>
      </w:r>
      <w:r w:rsidR="000144B5" w:rsidRPr="000144B5">
        <w:rPr>
          <w:sz w:val="20"/>
          <w:u w:val="single"/>
        </w:rPr>
        <w:t xml:space="preserve"> X</w:t>
      </w:r>
      <w:r w:rsidR="000144B5">
        <w:rPr>
          <w:sz w:val="20"/>
        </w:rPr>
        <w:t xml:space="preserve">  </w:t>
      </w:r>
      <w:r>
        <w:rPr>
          <w:sz w:val="20"/>
        </w:rPr>
        <w:t>Southwest</w:t>
      </w:r>
      <w:r w:rsidR="000144B5" w:rsidRPr="000144B5">
        <w:rPr>
          <w:sz w:val="20"/>
          <w:u w:val="single"/>
        </w:rPr>
        <w:t xml:space="preserve"> X</w:t>
      </w:r>
      <w:r w:rsidR="000144B5">
        <w:rPr>
          <w:sz w:val="20"/>
        </w:rPr>
        <w:t xml:space="preserve">  </w:t>
      </w:r>
      <w:r>
        <w:rPr>
          <w:sz w:val="20"/>
        </w:rPr>
        <w:t>Western</w:t>
      </w:r>
      <w:r w:rsidR="000144B5" w:rsidRPr="000144B5">
        <w:rPr>
          <w:sz w:val="20"/>
          <w:u w:val="single"/>
        </w:rPr>
        <w:t xml:space="preserve"> X</w:t>
      </w:r>
      <w:r w:rsidR="000144B5">
        <w:rPr>
          <w:sz w:val="20"/>
        </w:rPr>
        <w:t xml:space="preserve">  </w:t>
      </w:r>
      <w:r>
        <w:rPr>
          <w:sz w:val="20"/>
        </w:rPr>
        <w:t xml:space="preserve">     </w:t>
      </w:r>
    </w:p>
    <w:p w:rsidR="008F4A5F" w:rsidRDefault="008F4A5F">
      <w:pPr>
        <w:pStyle w:val="BodyText2"/>
        <w:rPr>
          <w:sz w:val="20"/>
        </w:rPr>
      </w:pPr>
      <w:r>
        <w:rPr>
          <w:sz w:val="20"/>
        </w:rPr>
        <w:t xml:space="preserve"> West Coast</w:t>
      </w:r>
      <w:r w:rsidR="000144B5" w:rsidRPr="000144B5">
        <w:rPr>
          <w:sz w:val="20"/>
          <w:u w:val="single"/>
        </w:rPr>
        <w:t xml:space="preserve"> X</w:t>
      </w:r>
      <w:r w:rsidR="000144B5">
        <w:rPr>
          <w:sz w:val="20"/>
        </w:rPr>
        <w:t xml:space="preserve">  </w:t>
      </w:r>
      <w:r>
        <w:rPr>
          <w:sz w:val="20"/>
        </w:rPr>
        <w:t xml:space="preserve"> ALL__</w:t>
      </w:r>
    </w:p>
    <w:p w:rsidR="008F4A5F" w:rsidRDefault="008F4A5F">
      <w:pPr>
        <w:rPr>
          <w:sz w:val="24"/>
        </w:rPr>
      </w:pPr>
    </w:p>
    <w:p w:rsidR="00F10971" w:rsidRDefault="008F4A5F" w:rsidP="00F10971">
      <w:pPr>
        <w:pStyle w:val="BodyText2"/>
        <w:numPr>
          <w:ilvl w:val="0"/>
          <w:numId w:val="1"/>
        </w:numPr>
        <w:rPr>
          <w:sz w:val="22"/>
          <w:szCs w:val="22"/>
        </w:rPr>
      </w:pPr>
      <w:r w:rsidRPr="005C5EBF">
        <w:rPr>
          <w:sz w:val="22"/>
          <w:szCs w:val="22"/>
        </w:rPr>
        <w:t xml:space="preserve">Rationale why existing process is deficient: </w:t>
      </w:r>
      <w:r w:rsidR="00B60D73" w:rsidRPr="005C5EBF">
        <w:rPr>
          <w:sz w:val="22"/>
          <w:szCs w:val="22"/>
        </w:rPr>
        <w:t xml:space="preserve"> </w:t>
      </w:r>
    </w:p>
    <w:p w:rsidR="005B68A8" w:rsidRPr="005B68A8" w:rsidRDefault="005B68A8" w:rsidP="005B68A8">
      <w:pPr>
        <w:pStyle w:val="BodyText2"/>
        <w:rPr>
          <w:sz w:val="22"/>
          <w:szCs w:val="22"/>
        </w:rPr>
      </w:pPr>
      <w:r w:rsidRPr="005B68A8">
        <w:rPr>
          <w:sz w:val="22"/>
          <w:szCs w:val="22"/>
        </w:rPr>
        <w:t xml:space="preserve">With this </w:t>
      </w:r>
      <w:r>
        <w:rPr>
          <w:sz w:val="22"/>
          <w:szCs w:val="22"/>
        </w:rPr>
        <w:t xml:space="preserve">recent </w:t>
      </w:r>
      <w:r w:rsidRPr="005B68A8">
        <w:rPr>
          <w:sz w:val="22"/>
          <w:szCs w:val="22"/>
        </w:rPr>
        <w:t>significant increase in volumes, many national providers are scrambling to work with the</w:t>
      </w:r>
      <w:r w:rsidR="00326C66">
        <w:rPr>
          <w:sz w:val="22"/>
          <w:szCs w:val="22"/>
        </w:rPr>
        <w:t>ir</w:t>
      </w:r>
      <w:r w:rsidRPr="005B68A8">
        <w:rPr>
          <w:sz w:val="22"/>
          <w:szCs w:val="22"/>
        </w:rPr>
        <w:t xml:space="preserve"> vendors to provide additional capacity in an escalated manner, which </w:t>
      </w:r>
      <w:r w:rsidR="00FC71AC">
        <w:rPr>
          <w:sz w:val="22"/>
          <w:szCs w:val="22"/>
        </w:rPr>
        <w:t>could</w:t>
      </w:r>
      <w:r w:rsidRPr="005B68A8">
        <w:rPr>
          <w:sz w:val="22"/>
          <w:szCs w:val="22"/>
        </w:rPr>
        <w:t xml:space="preserve"> lead to more issues due to a lessened testing schedule to obtain the software and any hardware in a timely </w:t>
      </w:r>
      <w:r w:rsidRPr="005B68A8">
        <w:rPr>
          <w:sz w:val="22"/>
          <w:szCs w:val="22"/>
        </w:rPr>
        <w:lastRenderedPageBreak/>
        <w:t>manner to meet the exhaust point.</w:t>
      </w:r>
      <w:r w:rsidR="00FC71AC">
        <w:rPr>
          <w:sz w:val="22"/>
          <w:szCs w:val="22"/>
        </w:rPr>
        <w:t xml:space="preserve">  Processes should be documented to ensure that pooling and porting is effectuated via the NPAC in the most efficient means possible in order to mitigate the impact, e.g., throughput, database capacity, etc., on downstream service provider systems.</w:t>
      </w:r>
    </w:p>
    <w:p w:rsidR="008F4A5F" w:rsidRDefault="008F4A5F">
      <w:pPr>
        <w:rPr>
          <w:sz w:val="24"/>
        </w:rPr>
      </w:pPr>
    </w:p>
    <w:p w:rsidR="008F4A5F" w:rsidRPr="007E6DD9" w:rsidRDefault="008F4A5F">
      <w:pPr>
        <w:pStyle w:val="BodyText2"/>
        <w:rPr>
          <w:sz w:val="22"/>
          <w:szCs w:val="22"/>
        </w:rPr>
      </w:pPr>
      <w:r w:rsidRPr="007E6DD9">
        <w:rPr>
          <w:sz w:val="22"/>
          <w:szCs w:val="22"/>
        </w:rPr>
        <w:t>E.   Identify action taken in other committees / forums</w:t>
      </w:r>
    </w:p>
    <w:p w:rsidR="007E6DD9" w:rsidRPr="007E6DD9" w:rsidRDefault="007E6DD9">
      <w:pPr>
        <w:pStyle w:val="BodyText2"/>
        <w:rPr>
          <w:sz w:val="22"/>
          <w:szCs w:val="22"/>
        </w:rPr>
      </w:pPr>
    </w:p>
    <w:p w:rsidR="007E6DD9" w:rsidRPr="007E6DD9" w:rsidRDefault="007E6DD9">
      <w:pPr>
        <w:pStyle w:val="BodyText2"/>
        <w:rPr>
          <w:sz w:val="22"/>
          <w:szCs w:val="22"/>
        </w:rPr>
      </w:pPr>
      <w:r>
        <w:rPr>
          <w:sz w:val="22"/>
          <w:szCs w:val="22"/>
        </w:rPr>
        <w:t>In approving SOW 69 for NANC Change Order 436, t</w:t>
      </w:r>
      <w:r w:rsidRPr="007E6DD9">
        <w:rPr>
          <w:sz w:val="22"/>
          <w:szCs w:val="22"/>
        </w:rPr>
        <w:t>he NAPM LLC has taken the following action</w:t>
      </w:r>
      <w:r>
        <w:rPr>
          <w:sz w:val="22"/>
          <w:szCs w:val="22"/>
        </w:rPr>
        <w:t>s</w:t>
      </w:r>
      <w:r w:rsidRPr="007E6DD9">
        <w:rPr>
          <w:sz w:val="22"/>
          <w:szCs w:val="22"/>
        </w:rPr>
        <w:t>:</w:t>
      </w:r>
    </w:p>
    <w:p w:rsidR="007E6DD9" w:rsidRPr="007E6DD9" w:rsidRDefault="007E6DD9" w:rsidP="007E6DD9">
      <w:pPr>
        <w:pStyle w:val="BodyText3"/>
        <w:rPr>
          <w:sz w:val="22"/>
          <w:szCs w:val="22"/>
        </w:rPr>
      </w:pPr>
      <w:r>
        <w:rPr>
          <w:sz w:val="22"/>
          <w:szCs w:val="22"/>
        </w:rPr>
        <w:t>1</w:t>
      </w:r>
      <w:r w:rsidRPr="007E6DD9">
        <w:rPr>
          <w:sz w:val="22"/>
          <w:szCs w:val="22"/>
        </w:rPr>
        <w:t>)  Initiation and presentation of a Root Cause Analysis by the NPAC Administrator with respect to determining the reasons for the unexpected immediacy of potential LSMS exhaust and how the issue arose and under what circumstances, and development of a process for preventing future occurrences.</w:t>
      </w:r>
    </w:p>
    <w:p w:rsidR="007E6DD9" w:rsidRPr="007E6DD9" w:rsidRDefault="007E6DD9">
      <w:pPr>
        <w:pStyle w:val="BodyText2"/>
        <w:rPr>
          <w:sz w:val="22"/>
          <w:szCs w:val="22"/>
        </w:rPr>
      </w:pPr>
    </w:p>
    <w:p w:rsidR="007E6DD9" w:rsidRPr="007E6DD9" w:rsidRDefault="007E6DD9" w:rsidP="007E6DD9">
      <w:pPr>
        <w:pStyle w:val="BodyText3"/>
        <w:rPr>
          <w:sz w:val="22"/>
          <w:szCs w:val="22"/>
        </w:rPr>
      </w:pPr>
      <w:r>
        <w:rPr>
          <w:sz w:val="22"/>
          <w:szCs w:val="22"/>
        </w:rPr>
        <w:t>2</w:t>
      </w:r>
      <w:r w:rsidRPr="007E6DD9">
        <w:rPr>
          <w:sz w:val="22"/>
          <w:szCs w:val="22"/>
        </w:rPr>
        <w:t>)  Immediate suspension and stopping all projects and activities, and continued suspension of all projects and activities, that result in the Activation or creation of new SVs by reason of the use of the Billing ID, End User Location Value, or End User Location Type fields, or the Alt-Billing ID, Alt-End User Location Value, or Alt-End User Location Type parameters for other than pooled block records.  This is intended to avert any imminent exhaust in database capacity and to allow investigation to identify, consider, approve, and implement longer-term solutions.</w:t>
      </w:r>
    </w:p>
    <w:p w:rsidR="008F4A5F" w:rsidRDefault="008F4A5F">
      <w:pPr>
        <w:rPr>
          <w:sz w:val="24"/>
        </w:rPr>
      </w:pPr>
    </w:p>
    <w:p w:rsidR="008F4A5F" w:rsidRDefault="008F4A5F">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A5F" w:rsidRDefault="008F4A5F">
      <w:pPr>
        <w:rPr>
          <w:sz w:val="24"/>
        </w:rPr>
      </w:pPr>
    </w:p>
    <w:p w:rsidR="008F4A5F" w:rsidRDefault="008F4A5F">
      <w:pPr>
        <w:numPr>
          <w:ilvl w:val="0"/>
          <w:numId w:val="2"/>
        </w:numPr>
        <w:rPr>
          <w:sz w:val="24"/>
        </w:rPr>
      </w:pPr>
      <w:r>
        <w:rPr>
          <w:b/>
          <w:sz w:val="24"/>
        </w:rPr>
        <w:t>Suggested Resolution:</w:t>
      </w:r>
      <w:r>
        <w:rPr>
          <w:sz w:val="24"/>
        </w:rPr>
        <w:t xml:space="preserve"> </w:t>
      </w:r>
    </w:p>
    <w:p w:rsidR="008F4A5F" w:rsidRDefault="008F4A5F">
      <w:pPr>
        <w:rPr>
          <w:sz w:val="24"/>
        </w:rPr>
      </w:pPr>
    </w:p>
    <w:p w:rsidR="00FE460A" w:rsidRDefault="00FE460A">
      <w:pPr>
        <w:pStyle w:val="BodyText3"/>
        <w:rPr>
          <w:sz w:val="22"/>
          <w:szCs w:val="22"/>
        </w:rPr>
      </w:pPr>
      <w:r>
        <w:rPr>
          <w:sz w:val="22"/>
          <w:szCs w:val="22"/>
        </w:rPr>
        <w:t xml:space="preserve">A) Implementation of the attached NANC </w:t>
      </w:r>
      <w:r w:rsidR="00326C66">
        <w:rPr>
          <w:sz w:val="22"/>
          <w:szCs w:val="22"/>
        </w:rPr>
        <w:t xml:space="preserve">Change Order </w:t>
      </w:r>
      <w:r>
        <w:rPr>
          <w:sz w:val="22"/>
          <w:szCs w:val="22"/>
        </w:rPr>
        <w:t xml:space="preserve">436 as soon as possible to address the current mismatch of data fields between the pooled 1K block </w:t>
      </w:r>
      <w:r w:rsidR="00326C66">
        <w:rPr>
          <w:sz w:val="22"/>
          <w:szCs w:val="22"/>
        </w:rPr>
        <w:t>record and the individual</w:t>
      </w:r>
      <w:r>
        <w:rPr>
          <w:sz w:val="22"/>
          <w:szCs w:val="22"/>
        </w:rPr>
        <w:t xml:space="preserve"> SV.</w:t>
      </w:r>
    </w:p>
    <w:p w:rsidR="00FE460A" w:rsidRDefault="00FE460A">
      <w:pPr>
        <w:pStyle w:val="BodyText3"/>
        <w:rPr>
          <w:sz w:val="22"/>
          <w:szCs w:val="22"/>
        </w:rPr>
      </w:pPr>
    </w:p>
    <w:p w:rsidR="00FE460A" w:rsidRDefault="00FE460A">
      <w:pPr>
        <w:pStyle w:val="BodyText3"/>
        <w:rPr>
          <w:sz w:val="22"/>
          <w:szCs w:val="22"/>
        </w:rPr>
      </w:pPr>
      <w:r>
        <w:rPr>
          <w:sz w:val="22"/>
          <w:szCs w:val="22"/>
        </w:rPr>
        <w:tab/>
      </w:r>
      <w:bookmarkStart w:id="0" w:name="_MON_1283767577"/>
      <w:bookmarkEnd w:id="0"/>
      <w:r w:rsidRPr="005327DD">
        <w:rPr>
          <w:sz w:val="24"/>
          <w:szCs w:val="24"/>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95pt" o:ole="">
            <v:imagedata r:id="rId7" o:title=""/>
          </v:shape>
          <o:OLEObject Type="Embed" ProgID="Word.Document.8" ShapeID="_x0000_i1025" DrawAspect="Icon" ObjectID="_1653378759" r:id="rId8">
            <o:FieldCodes>\s</o:FieldCodes>
          </o:OLEObject>
        </w:object>
      </w:r>
      <w:r w:rsidR="00E20685">
        <w:rPr>
          <w:sz w:val="24"/>
          <w:szCs w:val="24"/>
        </w:rPr>
        <w:tab/>
      </w:r>
      <w:bookmarkStart w:id="1" w:name="_MON_1284457607"/>
      <w:bookmarkEnd w:id="1"/>
      <w:r w:rsidR="00E20685" w:rsidRPr="00E20685">
        <w:rPr>
          <w:sz w:val="24"/>
          <w:szCs w:val="24"/>
        </w:rPr>
        <w:object w:dxaOrig="1536" w:dyaOrig="994">
          <v:shape id="_x0000_i1026" type="#_x0000_t75" style="width:76.6pt;height:49.95pt" o:ole="">
            <v:imagedata r:id="rId9" o:title=""/>
          </v:shape>
          <o:OLEObject Type="Embed" ProgID="Word.Document.8" ShapeID="_x0000_i1026" DrawAspect="Icon" ObjectID="_1653378760" r:id="rId10">
            <o:FieldCodes>\s</o:FieldCodes>
          </o:OLEObject>
        </w:object>
      </w:r>
    </w:p>
    <w:p w:rsidR="00FE460A" w:rsidRDefault="00FE460A">
      <w:pPr>
        <w:pStyle w:val="BodyText3"/>
        <w:rPr>
          <w:sz w:val="22"/>
          <w:szCs w:val="22"/>
        </w:rPr>
      </w:pPr>
    </w:p>
    <w:p w:rsidR="00FE460A" w:rsidRPr="00FE460A" w:rsidRDefault="00FE460A">
      <w:pPr>
        <w:pStyle w:val="BodyText3"/>
        <w:rPr>
          <w:sz w:val="22"/>
          <w:szCs w:val="22"/>
        </w:rPr>
      </w:pPr>
      <w:r>
        <w:rPr>
          <w:sz w:val="22"/>
          <w:szCs w:val="22"/>
        </w:rPr>
        <w:t>B</w:t>
      </w:r>
      <w:r w:rsidR="00326C66">
        <w:rPr>
          <w:sz w:val="22"/>
          <w:szCs w:val="22"/>
        </w:rPr>
        <w:t>) Upon implementation of NANC 43</w:t>
      </w:r>
      <w:r>
        <w:rPr>
          <w:sz w:val="22"/>
          <w:szCs w:val="22"/>
        </w:rPr>
        <w:t xml:space="preserve">6, the NPAC Administrator should </w:t>
      </w:r>
      <w:r w:rsidRPr="00FE460A">
        <w:rPr>
          <w:sz w:val="22"/>
          <w:szCs w:val="22"/>
        </w:rPr>
        <w:t>develop an appropriate X-Regional notice to educate providers on its use and approach providers regarding identifying opportunities for collapsing individual SVs into pooled 1K blocks where they can.</w:t>
      </w:r>
    </w:p>
    <w:p w:rsidR="00FE460A" w:rsidRDefault="00FE460A">
      <w:pPr>
        <w:pStyle w:val="BodyText3"/>
        <w:rPr>
          <w:sz w:val="22"/>
          <w:szCs w:val="22"/>
        </w:rPr>
      </w:pPr>
    </w:p>
    <w:p w:rsidR="00FE460A" w:rsidRDefault="00CC039E">
      <w:pPr>
        <w:pStyle w:val="BodyText3"/>
        <w:rPr>
          <w:sz w:val="22"/>
          <w:szCs w:val="22"/>
        </w:rPr>
      </w:pPr>
      <w:r>
        <w:rPr>
          <w:sz w:val="22"/>
          <w:szCs w:val="22"/>
        </w:rPr>
        <w:t>C</w:t>
      </w:r>
      <w:r w:rsidR="005B6108">
        <w:rPr>
          <w:sz w:val="22"/>
          <w:szCs w:val="22"/>
        </w:rPr>
        <w:t>) Discussions should be initiated in the LNPA WG to determine and define industry use(s) of the Billing ID, End User Location Value, End User Location Type fields, and the Alt-Billing ID, Alt-End User Location Value, or Alt-End User Location Type parameters.</w:t>
      </w:r>
    </w:p>
    <w:p w:rsidR="00BB7258" w:rsidRDefault="00BB7258">
      <w:pPr>
        <w:pStyle w:val="BodyText3"/>
        <w:rPr>
          <w:sz w:val="22"/>
          <w:szCs w:val="22"/>
        </w:rPr>
      </w:pPr>
    </w:p>
    <w:p w:rsidR="00BB7258" w:rsidRPr="00BB7258" w:rsidRDefault="00CC039E">
      <w:pPr>
        <w:pStyle w:val="BodyText3"/>
        <w:rPr>
          <w:sz w:val="22"/>
          <w:szCs w:val="22"/>
        </w:rPr>
      </w:pPr>
      <w:r>
        <w:rPr>
          <w:sz w:val="22"/>
          <w:szCs w:val="22"/>
        </w:rPr>
        <w:t>D</w:t>
      </w:r>
      <w:r w:rsidR="00BB7258">
        <w:rPr>
          <w:sz w:val="22"/>
          <w:szCs w:val="22"/>
        </w:rPr>
        <w:t xml:space="preserve">) </w:t>
      </w:r>
      <w:r w:rsidR="00BB7258" w:rsidRPr="00BB7258">
        <w:rPr>
          <w:sz w:val="22"/>
          <w:szCs w:val="22"/>
        </w:rPr>
        <w:t>Discussion should be initiated in the LNPA WG to identify best practices in regards to intra</w:t>
      </w:r>
      <w:r w:rsidR="00326C66">
        <w:rPr>
          <w:sz w:val="22"/>
          <w:szCs w:val="22"/>
        </w:rPr>
        <w:t>-</w:t>
      </w:r>
      <w:r w:rsidR="00BB7258" w:rsidRPr="00BB7258">
        <w:rPr>
          <w:sz w:val="22"/>
          <w:szCs w:val="22"/>
        </w:rPr>
        <w:t xml:space="preserve">service </w:t>
      </w:r>
      <w:r w:rsidR="00326C66">
        <w:rPr>
          <w:sz w:val="22"/>
          <w:szCs w:val="22"/>
        </w:rPr>
        <w:t xml:space="preserve">provider </w:t>
      </w:r>
      <w:r w:rsidR="00BB7258" w:rsidRPr="00BB7258">
        <w:rPr>
          <w:sz w:val="22"/>
          <w:szCs w:val="22"/>
        </w:rPr>
        <w:t xml:space="preserve">porting </w:t>
      </w:r>
      <w:r w:rsidR="00BB7258">
        <w:rPr>
          <w:sz w:val="22"/>
          <w:szCs w:val="22"/>
        </w:rPr>
        <w:t xml:space="preserve">Subscription Versions (aka TN’s) </w:t>
      </w:r>
      <w:r w:rsidR="00BB7258" w:rsidRPr="00BB7258">
        <w:rPr>
          <w:sz w:val="22"/>
          <w:szCs w:val="22"/>
        </w:rPr>
        <w:t>within a 1k block.</w:t>
      </w:r>
    </w:p>
    <w:p w:rsidR="007F4B64" w:rsidRDefault="007F4B64">
      <w:pPr>
        <w:pStyle w:val="BodyText3"/>
        <w:rPr>
          <w:sz w:val="22"/>
          <w:szCs w:val="22"/>
        </w:rPr>
      </w:pPr>
    </w:p>
    <w:p w:rsidR="005B68A8" w:rsidRDefault="005B68A8">
      <w:pPr>
        <w:pStyle w:val="BodyText3"/>
        <w:rPr>
          <w:sz w:val="22"/>
          <w:szCs w:val="22"/>
        </w:rPr>
      </w:pPr>
    </w:p>
    <w:p w:rsidR="00BB7258" w:rsidRDefault="00BB7258">
      <w:pPr>
        <w:pStyle w:val="BodyText3"/>
        <w:rPr>
          <w:sz w:val="22"/>
          <w:szCs w:val="22"/>
        </w:rPr>
      </w:pPr>
    </w:p>
    <w:p w:rsidR="005B68A8" w:rsidRPr="004D1E54" w:rsidRDefault="005B68A8">
      <w:pPr>
        <w:pStyle w:val="BodyText3"/>
        <w:rPr>
          <w:sz w:val="22"/>
          <w:szCs w:val="22"/>
        </w:rPr>
      </w:pPr>
    </w:p>
    <w:p w:rsidR="008F4A5F" w:rsidRDefault="008F4A5F">
      <w:pPr>
        <w:rPr>
          <w:sz w:val="24"/>
        </w:rPr>
      </w:pPr>
    </w:p>
    <w:p w:rsidR="00741A56" w:rsidRDefault="00741A56">
      <w:pPr>
        <w:rPr>
          <w:sz w:val="24"/>
        </w:rPr>
      </w:pPr>
    </w:p>
    <w:p w:rsidR="00741A56" w:rsidRPr="00EE728F" w:rsidRDefault="00741A56" w:rsidP="00741A56">
      <w:pPr>
        <w:pStyle w:val="ListParagraph"/>
        <w:numPr>
          <w:ilvl w:val="0"/>
          <w:numId w:val="2"/>
        </w:numPr>
      </w:pPr>
      <w:r w:rsidRPr="009469C7">
        <w:rPr>
          <w:b/>
        </w:rPr>
        <w:t>Final Resolution:</w:t>
      </w:r>
    </w:p>
    <w:p w:rsidR="00741A56" w:rsidRPr="00EE728F" w:rsidRDefault="00741A56" w:rsidP="00741A56">
      <w:pPr>
        <w:ind w:left="360"/>
      </w:pPr>
    </w:p>
    <w:p w:rsidR="00741A56" w:rsidRPr="00EE728F" w:rsidRDefault="008A012A" w:rsidP="00741A56">
      <w:pPr>
        <w:pBdr>
          <w:top w:val="single" w:sz="4" w:space="1" w:color="auto"/>
          <w:left w:val="single" w:sz="4" w:space="18" w:color="auto"/>
          <w:bottom w:val="single" w:sz="4" w:space="1" w:color="auto"/>
          <w:right w:val="single" w:sz="4" w:space="4" w:color="auto"/>
          <w:bar w:val="single" w:sz="4" w:color="auto"/>
        </w:pBdr>
        <w:ind w:left="270"/>
      </w:pPr>
      <w:r w:rsidRPr="008A012A">
        <w:t>This PIM resulted in the creation of Best Practice 057 Impact of breaking pooled blocks into</w:t>
      </w:r>
      <w:bookmarkStart w:id="2" w:name="_GoBack"/>
      <w:bookmarkEnd w:id="2"/>
      <w:r w:rsidRPr="008A012A">
        <w:t xml:space="preserve"> individual SVs </w:t>
      </w:r>
    </w:p>
    <w:p w:rsidR="00741A56" w:rsidRDefault="00741A56">
      <w:pPr>
        <w:rPr>
          <w:sz w:val="24"/>
        </w:rPr>
      </w:pPr>
    </w:p>
    <w:p w:rsidR="008F4A5F" w:rsidRDefault="008F4A5F">
      <w:pPr>
        <w:rPr>
          <w:sz w:val="24"/>
        </w:rPr>
      </w:pPr>
    </w:p>
    <w:p w:rsidR="008F4A5F" w:rsidRDefault="008F4A5F">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741A56">
        <w:rPr>
          <w:sz w:val="24"/>
        </w:rPr>
        <w:tab/>
      </w:r>
      <w:r w:rsidR="00741A56">
        <w:rPr>
          <w:sz w:val="24"/>
        </w:rPr>
        <w:tab/>
      </w:r>
      <w:r w:rsidR="00741A56">
        <w:rPr>
          <w:sz w:val="24"/>
        </w:rPr>
        <w:tab/>
      </w:r>
      <w:r w:rsidR="00741A56">
        <w:rPr>
          <w:sz w:val="24"/>
        </w:rPr>
        <w:tab/>
        <w:t xml:space="preserve">Final Resolution Date:  </w:t>
      </w:r>
      <w:r w:rsidR="008A012A">
        <w:rPr>
          <w:sz w:val="24"/>
        </w:rPr>
        <w:t>2/10/09</w:t>
      </w:r>
    </w:p>
    <w:p w:rsidR="008F4A5F" w:rsidRDefault="007A71FE">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2120D7">
        <w:rPr>
          <w:sz w:val="24"/>
        </w:rPr>
        <w:t xml:space="preserve">  PIM 68 v</w:t>
      </w:r>
      <w:r w:rsidR="00741A56">
        <w:rPr>
          <w:sz w:val="24"/>
        </w:rPr>
        <w:t>6</w:t>
      </w:r>
      <w:r w:rsidR="00741A56">
        <w:rPr>
          <w:sz w:val="24"/>
        </w:rPr>
        <w:tab/>
      </w:r>
      <w:r w:rsidR="00741A56">
        <w:rPr>
          <w:sz w:val="24"/>
        </w:rPr>
        <w:tab/>
      </w:r>
      <w:r w:rsidR="00741A56">
        <w:rPr>
          <w:sz w:val="24"/>
        </w:rPr>
        <w:tab/>
        <w:t xml:space="preserve">Related Documents:  NANC 436, </w:t>
      </w:r>
      <w:r w:rsidR="008A012A">
        <w:rPr>
          <w:sz w:val="24"/>
        </w:rPr>
        <w:t>BP 057</w:t>
      </w:r>
    </w:p>
    <w:p w:rsidR="008F4A5F" w:rsidRDefault="008F4A5F">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8F4A5F" w:rsidRDefault="008F4A5F">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8F4A5F">
      <w:headerReference w:type="default" r:id="rId11"/>
      <w:footerReference w:type="even" r:id="rId12"/>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652" w:rsidRDefault="007D6652">
      <w:r>
        <w:separator/>
      </w:r>
    </w:p>
  </w:endnote>
  <w:endnote w:type="continuationSeparator" w:id="0">
    <w:p w:rsidR="007D6652" w:rsidRDefault="007D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85" w:rsidRDefault="00E20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0685" w:rsidRDefault="00E206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85" w:rsidRDefault="00E20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E19">
      <w:rPr>
        <w:rStyle w:val="PageNumber"/>
        <w:noProof/>
      </w:rPr>
      <w:t>3</w:t>
    </w:r>
    <w:r>
      <w:rPr>
        <w:rStyle w:val="PageNumber"/>
      </w:rPr>
      <w:fldChar w:fldCharType="end"/>
    </w:r>
  </w:p>
  <w:p w:rsidR="00E20685" w:rsidRDefault="00E206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652" w:rsidRDefault="007D6652">
      <w:r>
        <w:separator/>
      </w:r>
    </w:p>
  </w:footnote>
  <w:footnote w:type="continuationSeparator" w:id="0">
    <w:p w:rsidR="007D6652" w:rsidRDefault="007D6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85" w:rsidRDefault="00E206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0C"/>
    <w:rsid w:val="000144B5"/>
    <w:rsid w:val="0001779C"/>
    <w:rsid w:val="0005346A"/>
    <w:rsid w:val="0008530D"/>
    <w:rsid w:val="000D5893"/>
    <w:rsid w:val="000E0C08"/>
    <w:rsid w:val="001050F1"/>
    <w:rsid w:val="001149DB"/>
    <w:rsid w:val="00177E05"/>
    <w:rsid w:val="002120D7"/>
    <w:rsid w:val="00245A62"/>
    <w:rsid w:val="002A5613"/>
    <w:rsid w:val="002B5D37"/>
    <w:rsid w:val="002C31B4"/>
    <w:rsid w:val="002E6727"/>
    <w:rsid w:val="003125D7"/>
    <w:rsid w:val="00326C66"/>
    <w:rsid w:val="0034504A"/>
    <w:rsid w:val="00366E50"/>
    <w:rsid w:val="00387539"/>
    <w:rsid w:val="003A4EDE"/>
    <w:rsid w:val="00400A24"/>
    <w:rsid w:val="0043560A"/>
    <w:rsid w:val="00475A0A"/>
    <w:rsid w:val="00490BCD"/>
    <w:rsid w:val="004D1E54"/>
    <w:rsid w:val="004E4CC8"/>
    <w:rsid w:val="005B6108"/>
    <w:rsid w:val="005B68A8"/>
    <w:rsid w:val="005C5EBF"/>
    <w:rsid w:val="00604325"/>
    <w:rsid w:val="00680326"/>
    <w:rsid w:val="0068270B"/>
    <w:rsid w:val="006B08D9"/>
    <w:rsid w:val="006C2B11"/>
    <w:rsid w:val="006C7C3E"/>
    <w:rsid w:val="007259EC"/>
    <w:rsid w:val="00741A56"/>
    <w:rsid w:val="00781184"/>
    <w:rsid w:val="007A71FE"/>
    <w:rsid w:val="007B16E7"/>
    <w:rsid w:val="007B6036"/>
    <w:rsid w:val="007D6652"/>
    <w:rsid w:val="007E6DD9"/>
    <w:rsid w:val="007F4B64"/>
    <w:rsid w:val="00825F4B"/>
    <w:rsid w:val="008A012A"/>
    <w:rsid w:val="008D3A53"/>
    <w:rsid w:val="008E601A"/>
    <w:rsid w:val="008F4A5F"/>
    <w:rsid w:val="008F7022"/>
    <w:rsid w:val="00910708"/>
    <w:rsid w:val="00956711"/>
    <w:rsid w:val="009A2589"/>
    <w:rsid w:val="009B42D5"/>
    <w:rsid w:val="009D6A83"/>
    <w:rsid w:val="00A31CC2"/>
    <w:rsid w:val="00A62859"/>
    <w:rsid w:val="00A916ED"/>
    <w:rsid w:val="00B06E19"/>
    <w:rsid w:val="00B60D73"/>
    <w:rsid w:val="00BB57FE"/>
    <w:rsid w:val="00BB7258"/>
    <w:rsid w:val="00BC7154"/>
    <w:rsid w:val="00BE50D3"/>
    <w:rsid w:val="00C35DC4"/>
    <w:rsid w:val="00C41A34"/>
    <w:rsid w:val="00C60C4C"/>
    <w:rsid w:val="00C65085"/>
    <w:rsid w:val="00CA1F4F"/>
    <w:rsid w:val="00CA4B0C"/>
    <w:rsid w:val="00CC039E"/>
    <w:rsid w:val="00CE7808"/>
    <w:rsid w:val="00D856D1"/>
    <w:rsid w:val="00DD5A71"/>
    <w:rsid w:val="00DE3C80"/>
    <w:rsid w:val="00DE5DE2"/>
    <w:rsid w:val="00DF4861"/>
    <w:rsid w:val="00E20685"/>
    <w:rsid w:val="00E253BB"/>
    <w:rsid w:val="00E46276"/>
    <w:rsid w:val="00E610F5"/>
    <w:rsid w:val="00E655BD"/>
    <w:rsid w:val="00EC30F7"/>
    <w:rsid w:val="00ED41BD"/>
    <w:rsid w:val="00EF1836"/>
    <w:rsid w:val="00F01349"/>
    <w:rsid w:val="00F10971"/>
    <w:rsid w:val="00F375BC"/>
    <w:rsid w:val="00F52C93"/>
    <w:rsid w:val="00F93B48"/>
    <w:rsid w:val="00FA1671"/>
    <w:rsid w:val="00FA7DEC"/>
    <w:rsid w:val="00FB2164"/>
    <w:rsid w:val="00FC71AC"/>
    <w:rsid w:val="00FD2315"/>
    <w:rsid w:val="00FD34F2"/>
    <w:rsid w:val="00FE460A"/>
    <w:rsid w:val="00FF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8"/>
    <o:shapelayout v:ext="edit">
      <o:idmap v:ext="edit" data="1"/>
    </o:shapelayout>
  </w:shapeDefaults>
  <w:decimalSymbol w:val="."/>
  <w:listSeparator w:val=","/>
  <w14:docId w14:val="0495EF64"/>
  <w15:chartTrackingRefBased/>
  <w15:docId w15:val="{22082312-9EE5-4043-A4ED-143E914C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2A5613"/>
    <w:rPr>
      <w:rFonts w:ascii="Tahoma" w:hAnsi="Tahoma" w:cs="Tahoma"/>
      <w:sz w:val="16"/>
      <w:szCs w:val="16"/>
    </w:rPr>
  </w:style>
  <w:style w:type="paragraph" w:styleId="ListParagraph">
    <w:name w:val="List Paragraph"/>
    <w:basedOn w:val="Normal"/>
    <w:uiPriority w:val="1"/>
    <w:qFormat/>
    <w:rsid w:val="00741A56"/>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96364">
      <w:bodyDiv w:val="1"/>
      <w:marLeft w:val="0"/>
      <w:marRight w:val="0"/>
      <w:marTop w:val="0"/>
      <w:marBottom w:val="0"/>
      <w:divBdr>
        <w:top w:val="none" w:sz="0" w:space="0" w:color="auto"/>
        <w:left w:val="none" w:sz="0" w:space="0" w:color="auto"/>
        <w:bottom w:val="none" w:sz="0" w:space="0" w:color="auto"/>
        <w:right w:val="none" w:sz="0" w:space="0" w:color="auto"/>
      </w:divBdr>
    </w:div>
    <w:div w:id="18955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AT&amp;T Mobility</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Renee Dillon</dc:creator>
  <cp:keywords/>
  <cp:lastModifiedBy>Doherty, Michael</cp:lastModifiedBy>
  <cp:revision>3</cp:revision>
  <cp:lastPrinted>1999-05-19T22:58:00Z</cp:lastPrinted>
  <dcterms:created xsi:type="dcterms:W3CDTF">2020-05-20T17:21:00Z</dcterms:created>
  <dcterms:modified xsi:type="dcterms:W3CDTF">2020-06-11T15:05:00Z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