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93" w:rsidRDefault="00DD4393">
      <w:pPr>
        <w:pStyle w:val="Title"/>
        <w:shd w:val="clear" w:color="auto" w:fill="C0C0C0"/>
      </w:pPr>
      <w:r>
        <w:t>LNP Problem/Issue Identification and Description Form</w:t>
      </w:r>
    </w:p>
    <w:p w:rsidR="00DD4393" w:rsidRDefault="00DD4393">
      <w:pPr>
        <w:rPr>
          <w:sz w:val="24"/>
        </w:rPr>
      </w:pPr>
    </w:p>
    <w:p w:rsidR="00DD4393" w:rsidRDefault="00DD4393">
      <w:pPr>
        <w:rPr>
          <w:sz w:val="24"/>
        </w:rPr>
      </w:pPr>
    </w:p>
    <w:p w:rsidR="00DD4393" w:rsidRPr="00B92DD6" w:rsidRDefault="00DD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5E3F07">
        <w:rPr>
          <w:sz w:val="24"/>
        </w:rPr>
        <w:t>1/13/2010</w:t>
      </w:r>
      <w:r w:rsidR="00B92DD6">
        <w:rPr>
          <w:sz w:val="24"/>
        </w:rPr>
        <w:tab/>
      </w:r>
      <w:r w:rsidR="00B92DD6">
        <w:rPr>
          <w:sz w:val="24"/>
        </w:rPr>
        <w:tab/>
      </w:r>
      <w:r w:rsidR="00B92DD6">
        <w:rPr>
          <w:sz w:val="24"/>
        </w:rPr>
        <w:tab/>
      </w:r>
      <w:r w:rsidR="00B92DD6">
        <w:rPr>
          <w:sz w:val="24"/>
        </w:rPr>
        <w:tab/>
      </w:r>
      <w:r w:rsidR="00B92DD6">
        <w:rPr>
          <w:b/>
          <w:sz w:val="24"/>
        </w:rPr>
        <w:t>PIM 76</w:t>
      </w:r>
      <w:r w:rsidR="00FF324A">
        <w:rPr>
          <w:b/>
          <w:sz w:val="24"/>
        </w:rPr>
        <w:t xml:space="preserve"> </w:t>
      </w:r>
      <w:r w:rsidR="00320C0C">
        <w:rPr>
          <w:b/>
          <w:sz w:val="24"/>
        </w:rPr>
        <w:t>v4</w:t>
      </w:r>
    </w:p>
    <w:p w:rsidR="00DD4393" w:rsidRDefault="00DD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>:</w:t>
      </w:r>
      <w:r w:rsidR="00211620">
        <w:rPr>
          <w:sz w:val="24"/>
        </w:rPr>
        <w:tab/>
        <w:t>AT&amp;T</w:t>
      </w:r>
    </w:p>
    <w:p w:rsidR="00DD4393" w:rsidRPr="00211620" w:rsidRDefault="00DD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</w:t>
      </w:r>
      <w:r w:rsidR="00211620">
        <w:rPr>
          <w:b/>
          <w:sz w:val="24"/>
        </w:rPr>
        <w:t>e:</w:t>
      </w:r>
      <w:r w:rsidR="00211620">
        <w:rPr>
          <w:b/>
          <w:sz w:val="24"/>
        </w:rPr>
        <w:tab/>
      </w:r>
      <w:r w:rsidR="00211620">
        <w:rPr>
          <w:sz w:val="24"/>
        </w:rPr>
        <w:t xml:space="preserve">Tracey </w:t>
      </w:r>
      <w:proofErr w:type="spellStart"/>
      <w:r w:rsidR="00211620">
        <w:rPr>
          <w:sz w:val="24"/>
        </w:rPr>
        <w:t>Guidotti</w:t>
      </w:r>
      <w:proofErr w:type="spellEnd"/>
      <w:r w:rsidR="002B266F">
        <w:rPr>
          <w:sz w:val="24"/>
        </w:rPr>
        <w:t>; Ron Steen</w:t>
      </w:r>
    </w:p>
    <w:p w:rsidR="00DD4393" w:rsidRDefault="00DD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 w:rsidR="00211620">
        <w:rPr>
          <w:sz w:val="24"/>
        </w:rPr>
        <w:t>:</w:t>
      </w:r>
      <w:r w:rsidR="00211620">
        <w:rPr>
          <w:sz w:val="24"/>
        </w:rPr>
        <w:tab/>
        <w:t>(248) 424-0295</w:t>
      </w:r>
      <w:r w:rsidR="002B266F">
        <w:rPr>
          <w:sz w:val="24"/>
        </w:rPr>
        <w:t>; (205) 988-6615</w:t>
      </w:r>
    </w:p>
    <w:p w:rsidR="00DD4393" w:rsidRDefault="00DD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 w:rsidR="00211620">
        <w:rPr>
          <w:b/>
          <w:sz w:val="24"/>
        </w:rPr>
        <w:t>:</w:t>
      </w:r>
      <w:r w:rsidR="00211620">
        <w:rPr>
          <w:b/>
          <w:sz w:val="24"/>
        </w:rPr>
        <w:tab/>
      </w:r>
      <w:r w:rsidR="00211620">
        <w:rPr>
          <w:b/>
          <w:sz w:val="24"/>
        </w:rPr>
        <w:tab/>
      </w:r>
      <w:hyperlink r:id="rId7" w:history="1">
        <w:r w:rsidR="002B266F" w:rsidRPr="004938D8">
          <w:rPr>
            <w:rStyle w:val="Hyperlink"/>
            <w:sz w:val="24"/>
          </w:rPr>
          <w:t>tg2186@att.com</w:t>
        </w:r>
      </w:hyperlink>
      <w:proofErr w:type="gramStart"/>
      <w:r w:rsidR="002B266F">
        <w:rPr>
          <w:sz w:val="24"/>
        </w:rPr>
        <w:t>;</w:t>
      </w:r>
      <w:proofErr w:type="gramEnd"/>
      <w:r w:rsidR="002B266F">
        <w:rPr>
          <w:sz w:val="24"/>
        </w:rPr>
        <w:t xml:space="preserve"> </w:t>
      </w:r>
      <w:hyperlink r:id="rId8" w:history="1">
        <w:r w:rsidR="002B266F" w:rsidRPr="004938D8">
          <w:rPr>
            <w:rStyle w:val="Hyperlink"/>
            <w:sz w:val="24"/>
          </w:rPr>
          <w:t>rs7566@att.com</w:t>
        </w:r>
      </w:hyperlink>
      <w:r w:rsidR="002B266F">
        <w:rPr>
          <w:sz w:val="24"/>
        </w:rPr>
        <w:t xml:space="preserve"> </w:t>
      </w:r>
    </w:p>
    <w:p w:rsidR="00DD4393" w:rsidRDefault="00DD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DD4393" w:rsidRDefault="00DD4393">
      <w:pPr>
        <w:rPr>
          <w:sz w:val="24"/>
          <w:u w:val="single"/>
        </w:rPr>
      </w:pPr>
    </w:p>
    <w:p w:rsidR="00DD4393" w:rsidRDefault="00DD4393">
      <w:pPr>
        <w:rPr>
          <w:sz w:val="24"/>
          <w:u w:val="single"/>
        </w:rPr>
      </w:pPr>
    </w:p>
    <w:p w:rsidR="00DD4393" w:rsidRDefault="00DD4393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DD4393" w:rsidRDefault="00DD4393">
      <w:pPr>
        <w:rPr>
          <w:sz w:val="24"/>
        </w:rPr>
      </w:pPr>
    </w:p>
    <w:p w:rsidR="00DD4393" w:rsidRDefault="00FF324A">
      <w:pPr>
        <w:pStyle w:val="BodyText2"/>
        <w:rPr>
          <w:sz w:val="20"/>
        </w:rPr>
      </w:pPr>
      <w:r>
        <w:rPr>
          <w:sz w:val="20"/>
        </w:rPr>
        <w:t xml:space="preserve">Inadequate notification by service providers when they make changes to their systems or processes </w:t>
      </w:r>
      <w:proofErr w:type="gramStart"/>
      <w:r w:rsidR="002D4006">
        <w:rPr>
          <w:sz w:val="20"/>
        </w:rPr>
        <w:t>that other service providers</w:t>
      </w:r>
      <w:proofErr w:type="gramEnd"/>
      <w:r>
        <w:rPr>
          <w:sz w:val="20"/>
        </w:rPr>
        <w:t xml:space="preserve"> must use to request a customer service record or to initiate a request to port a telephone number. </w:t>
      </w:r>
      <w:r w:rsidR="00DD4393">
        <w:rPr>
          <w:sz w:val="20"/>
        </w:rPr>
        <w:t xml:space="preserve">                      </w:t>
      </w:r>
      <w:r w:rsidR="002B266F">
        <w:rPr>
          <w:sz w:val="20"/>
        </w:rPr>
        <w:t xml:space="preserve">         </w:t>
      </w:r>
    </w:p>
    <w:p w:rsidR="00DD4393" w:rsidRDefault="00DD4393">
      <w:pPr>
        <w:rPr>
          <w:sz w:val="24"/>
        </w:rPr>
      </w:pPr>
      <w:r>
        <w:rPr>
          <w:sz w:val="24"/>
        </w:rPr>
        <w:t xml:space="preserve"> </w:t>
      </w:r>
    </w:p>
    <w:p w:rsidR="00DD4393" w:rsidRDefault="00DD4393">
      <w:pPr>
        <w:rPr>
          <w:sz w:val="24"/>
        </w:rPr>
      </w:pPr>
    </w:p>
    <w:p w:rsidR="00DD4393" w:rsidRDefault="00DD4393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DD4393" w:rsidRDefault="00DD439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DD4393" w:rsidRDefault="00DD4393">
      <w:pPr>
        <w:pStyle w:val="BodyText2"/>
        <w:rPr>
          <w:sz w:val="20"/>
        </w:rPr>
      </w:pPr>
      <w:r>
        <w:rPr>
          <w:sz w:val="20"/>
        </w:rPr>
        <w:t xml:space="preserve">A.   Examples &amp; Impacts of Problem/Issue: </w:t>
      </w:r>
    </w:p>
    <w:p w:rsidR="005A71B8" w:rsidRDefault="001929B9">
      <w:pPr>
        <w:pStyle w:val="BodyText2"/>
        <w:rPr>
          <w:sz w:val="20"/>
        </w:rPr>
      </w:pPr>
      <w:r>
        <w:rPr>
          <w:sz w:val="20"/>
        </w:rPr>
        <w:t>Service providers sometimes make changes to the systems or processes they use to allow other service providers to request customer records or to initiate porting requests.  These changes require</w:t>
      </w:r>
      <w:r w:rsidR="005942F9">
        <w:rPr>
          <w:sz w:val="20"/>
        </w:rPr>
        <w:t xml:space="preserve"> the</w:t>
      </w:r>
      <w:r>
        <w:rPr>
          <w:sz w:val="20"/>
        </w:rPr>
        <w:t xml:space="preserve"> other service providers to make </w:t>
      </w:r>
      <w:r w:rsidR="005942F9">
        <w:rPr>
          <w:sz w:val="20"/>
        </w:rPr>
        <w:t xml:space="preserve">corresponding </w:t>
      </w:r>
      <w:r>
        <w:rPr>
          <w:sz w:val="20"/>
        </w:rPr>
        <w:t>changes to their systems or processes for requesting customer records or initiating port requests.  Service providers often give little or no notice when they make</w:t>
      </w:r>
      <w:r w:rsidR="005942F9">
        <w:rPr>
          <w:sz w:val="20"/>
        </w:rPr>
        <w:t xml:space="preserve"> such</w:t>
      </w:r>
      <w:r>
        <w:rPr>
          <w:sz w:val="20"/>
        </w:rPr>
        <w:t xml:space="preserve"> changes.</w:t>
      </w:r>
      <w:r w:rsidR="005A71B8">
        <w:rPr>
          <w:sz w:val="20"/>
        </w:rPr>
        <w:t xml:space="preserve">  Sometimes the change</w:t>
      </w:r>
      <w:r w:rsidR="005942F9">
        <w:rPr>
          <w:sz w:val="20"/>
        </w:rPr>
        <w:t>s</w:t>
      </w:r>
      <w:r w:rsidR="005A71B8">
        <w:rPr>
          <w:sz w:val="20"/>
        </w:rPr>
        <w:t xml:space="preserve"> </w:t>
      </w:r>
      <w:proofErr w:type="gramStart"/>
      <w:r w:rsidR="005942F9">
        <w:rPr>
          <w:sz w:val="20"/>
        </w:rPr>
        <w:t xml:space="preserve">are </w:t>
      </w:r>
      <w:r w:rsidR="005A71B8">
        <w:rPr>
          <w:sz w:val="20"/>
        </w:rPr>
        <w:t>discovered</w:t>
      </w:r>
      <w:proofErr w:type="gramEnd"/>
      <w:r w:rsidR="005A71B8">
        <w:rPr>
          <w:sz w:val="20"/>
        </w:rPr>
        <w:t xml:space="preserve"> when porting requests are rejected.</w:t>
      </w:r>
      <w:r w:rsidR="005F474F">
        <w:rPr>
          <w:sz w:val="20"/>
        </w:rPr>
        <w:t xml:space="preserve">  This results in porting delays and customer dissatisfaction.</w:t>
      </w:r>
    </w:p>
    <w:p w:rsidR="00DD4393" w:rsidRDefault="00DD4393">
      <w:pPr>
        <w:rPr>
          <w:sz w:val="24"/>
        </w:rPr>
      </w:pPr>
    </w:p>
    <w:p w:rsidR="00DD4393" w:rsidRDefault="00DD4393">
      <w:pPr>
        <w:pStyle w:val="BodyText2"/>
        <w:rPr>
          <w:sz w:val="20"/>
        </w:rPr>
      </w:pPr>
      <w:r>
        <w:rPr>
          <w:sz w:val="20"/>
        </w:rPr>
        <w:t>B.   Frequency of Occurrence: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393" w:rsidRDefault="00DD4393">
      <w:pPr>
        <w:rPr>
          <w:sz w:val="24"/>
        </w:rPr>
      </w:pPr>
    </w:p>
    <w:p w:rsidR="00DD4393" w:rsidRDefault="00DD4393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DD4393" w:rsidRDefault="00DD4393">
      <w:pPr>
        <w:pStyle w:val="BodyText2"/>
        <w:rPr>
          <w:sz w:val="20"/>
        </w:rPr>
      </w:pPr>
      <w:r>
        <w:rPr>
          <w:sz w:val="20"/>
        </w:rPr>
        <w:t xml:space="preserve"> Canada___ </w:t>
      </w:r>
      <w:proofErr w:type="gramStart"/>
      <w:r>
        <w:rPr>
          <w:sz w:val="20"/>
        </w:rPr>
        <w:t>Mid</w:t>
      </w:r>
      <w:proofErr w:type="gramEnd"/>
      <w:r>
        <w:rPr>
          <w:sz w:val="20"/>
        </w:rPr>
        <w:t xml:space="preserve"> Atlantic ___ Midwest___ Northeast___ Southeast___ Southwest___ Western___     </w:t>
      </w:r>
    </w:p>
    <w:p w:rsidR="00DD4393" w:rsidRDefault="00DD4393">
      <w:pPr>
        <w:pStyle w:val="BodyText2"/>
        <w:rPr>
          <w:sz w:val="20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>
        <w:rPr>
          <w:sz w:val="20"/>
        </w:rPr>
        <w:t>_</w:t>
      </w:r>
      <w:r w:rsidR="005A71B8" w:rsidRPr="005A71B8">
        <w:rPr>
          <w:sz w:val="20"/>
          <w:u w:val="single"/>
        </w:rPr>
        <w:t>X</w:t>
      </w:r>
      <w:r>
        <w:rPr>
          <w:sz w:val="20"/>
        </w:rPr>
        <w:t>__</w:t>
      </w:r>
    </w:p>
    <w:p w:rsidR="00DD4393" w:rsidRDefault="00DD4393">
      <w:pPr>
        <w:rPr>
          <w:sz w:val="24"/>
        </w:rPr>
      </w:pPr>
    </w:p>
    <w:p w:rsidR="00DD4393" w:rsidRDefault="00DD4393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5A71B8" w:rsidRDefault="005A71B8">
      <w:pPr>
        <w:pStyle w:val="BodyText2"/>
        <w:rPr>
          <w:sz w:val="20"/>
        </w:rPr>
      </w:pPr>
      <w:r>
        <w:rPr>
          <w:sz w:val="20"/>
        </w:rPr>
        <w:t>Service providers that interface with the one making the change</w:t>
      </w:r>
      <w:r w:rsidR="005942F9">
        <w:rPr>
          <w:sz w:val="20"/>
        </w:rPr>
        <w:t>s</w:t>
      </w:r>
      <w:r>
        <w:rPr>
          <w:sz w:val="20"/>
        </w:rPr>
        <w:t xml:space="preserve"> need time to change their processes and/or systems to incorporate the change</w:t>
      </w:r>
      <w:r w:rsidR="005942F9">
        <w:rPr>
          <w:sz w:val="20"/>
        </w:rPr>
        <w:t>s</w:t>
      </w:r>
      <w:r>
        <w:rPr>
          <w:sz w:val="20"/>
        </w:rPr>
        <w:t>.  Some cases require educating personnel of the new procedures, but others may require reprogramming of porting systems.</w:t>
      </w:r>
      <w:r w:rsidR="00D6468F">
        <w:rPr>
          <w:sz w:val="20"/>
        </w:rPr>
        <w:t xml:space="preserve">  This PIM is only directed </w:t>
      </w:r>
      <w:r w:rsidR="005942F9">
        <w:rPr>
          <w:sz w:val="20"/>
        </w:rPr>
        <w:t>toward</w:t>
      </w:r>
      <w:r w:rsidR="00D6468F">
        <w:rPr>
          <w:sz w:val="20"/>
        </w:rPr>
        <w:t xml:space="preserve"> those processes or procedures that other service providers use to interface </w:t>
      </w:r>
      <w:r w:rsidR="005942F9">
        <w:rPr>
          <w:sz w:val="20"/>
        </w:rPr>
        <w:t>to port telephone numbers</w:t>
      </w:r>
      <w:r w:rsidR="00D6468F">
        <w:rPr>
          <w:sz w:val="20"/>
        </w:rPr>
        <w:t xml:space="preserve">.  It is not intended for internal systems or procedures not </w:t>
      </w:r>
      <w:r w:rsidR="004214F3">
        <w:rPr>
          <w:sz w:val="20"/>
        </w:rPr>
        <w:t>interfaced by other service providers.</w:t>
      </w:r>
    </w:p>
    <w:p w:rsidR="00DD4393" w:rsidRDefault="00DD4393">
      <w:pPr>
        <w:rPr>
          <w:sz w:val="24"/>
        </w:rPr>
      </w:pPr>
    </w:p>
    <w:p w:rsidR="00DD4393" w:rsidRDefault="00DD4393">
      <w:pPr>
        <w:pStyle w:val="BodyText2"/>
        <w:rPr>
          <w:sz w:val="20"/>
        </w:rPr>
      </w:pPr>
      <w:r>
        <w:rPr>
          <w:sz w:val="20"/>
        </w:rPr>
        <w:t>E.   Identify action taken in other committees / forums: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393" w:rsidRDefault="00DD4393">
      <w:pPr>
        <w:rPr>
          <w:sz w:val="24"/>
        </w:rPr>
      </w:pPr>
    </w:p>
    <w:p w:rsidR="00DD4393" w:rsidRDefault="00DD4393">
      <w:pPr>
        <w:pStyle w:val="BodyText2"/>
        <w:rPr>
          <w:sz w:val="20"/>
        </w:rPr>
      </w:pPr>
      <w:r>
        <w:rPr>
          <w:sz w:val="20"/>
        </w:rPr>
        <w:lastRenderedPageBreak/>
        <w:t>F.   Any other descriptive items: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393" w:rsidRDefault="00DD4393">
      <w:pPr>
        <w:rPr>
          <w:sz w:val="24"/>
        </w:rPr>
      </w:pPr>
    </w:p>
    <w:p w:rsidR="00DD4393" w:rsidRDefault="00DD4393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DD4393" w:rsidRDefault="00DD4393">
      <w:pPr>
        <w:rPr>
          <w:sz w:val="24"/>
        </w:rPr>
      </w:pPr>
    </w:p>
    <w:p w:rsidR="00DD4393" w:rsidRDefault="005A71B8">
      <w:pPr>
        <w:pStyle w:val="BodyText3"/>
      </w:pPr>
      <w:r>
        <w:t>AT&amp;T recommends that the Working Group adopt a Best Practice stating</w:t>
      </w:r>
      <w:r w:rsidR="00A94335">
        <w:t xml:space="preserve"> that</w:t>
      </w:r>
      <w:r>
        <w:t xml:space="preserve"> a </w:t>
      </w:r>
      <w:r w:rsidR="00120DFD">
        <w:t xml:space="preserve">60 calendar </w:t>
      </w:r>
      <w:r>
        <w:t xml:space="preserve">day notice should be given before implementing any change that affects the way other companies interface for porting purposes.  Suggested wording of the Best Practice entry is </w:t>
      </w:r>
      <w:r w:rsidR="009F3936">
        <w:t>included below.</w:t>
      </w:r>
    </w:p>
    <w:p w:rsidR="005A71B8" w:rsidRDefault="005A71B8">
      <w:pPr>
        <w:pStyle w:val="BodyText3"/>
      </w:pPr>
    </w:p>
    <w:p w:rsidR="005A71B8" w:rsidRDefault="009F3936">
      <w:pPr>
        <w:pStyle w:val="BodyText3"/>
      </w:pPr>
      <w:r>
        <w:rPr>
          <w:u w:val="single"/>
        </w:rPr>
        <w:t>Suggested Best Practice:</w:t>
      </w:r>
    </w:p>
    <w:p w:rsidR="009F3936" w:rsidRDefault="009F3936">
      <w:pPr>
        <w:pStyle w:val="BodyText3"/>
      </w:pPr>
      <w:r>
        <w:t>When a service provider implements changes to LNP systems or processes</w:t>
      </w:r>
      <w:r w:rsidR="00A70BF4">
        <w:t xml:space="preserve"> that require other service providers to change the way they interface with them, adequate notice should be given</w:t>
      </w:r>
      <w:r w:rsidR="00F4086A">
        <w:t>.</w:t>
      </w:r>
      <w:r>
        <w:t xml:space="preserve">  </w:t>
      </w:r>
      <w:r w:rsidR="00A70BF4">
        <w:t xml:space="preserve">Such </w:t>
      </w:r>
      <w:r>
        <w:t xml:space="preserve">changes </w:t>
      </w:r>
      <w:r w:rsidR="00A70BF4">
        <w:t>will require</w:t>
      </w:r>
      <w:r>
        <w:t xml:space="preserve"> other service providers to implement changes as well.  These changes may involve educating employees or may involve reprogramming of systems.</w:t>
      </w:r>
    </w:p>
    <w:p w:rsidR="009F3936" w:rsidRDefault="009F3936">
      <w:pPr>
        <w:pStyle w:val="BodyText3"/>
      </w:pPr>
    </w:p>
    <w:p w:rsidR="009F3936" w:rsidRDefault="009F3936">
      <w:pPr>
        <w:pStyle w:val="BodyText3"/>
      </w:pPr>
      <w:r>
        <w:t>The LNPA Working Group recommends as a Best Practice that service providers planning to implement changes to their</w:t>
      </w:r>
      <w:r w:rsidR="005D641A">
        <w:t xml:space="preserve"> Local Number Portability</w:t>
      </w:r>
      <w:r>
        <w:t xml:space="preserve"> interface systems or processes give</w:t>
      </w:r>
      <w:r w:rsidR="009A56FF">
        <w:t xml:space="preserve"> as much </w:t>
      </w:r>
      <w:proofErr w:type="gramStart"/>
      <w:r w:rsidR="009A56FF">
        <w:t>lead time</w:t>
      </w:r>
      <w:proofErr w:type="gramEnd"/>
      <w:r w:rsidR="009A56FF">
        <w:t xml:space="preserve"> as possible with</w:t>
      </w:r>
      <w:r>
        <w:t xml:space="preserve"> a minimum of </w:t>
      </w:r>
      <w:r w:rsidR="00120DFD">
        <w:t xml:space="preserve">60 </w:t>
      </w:r>
      <w:r w:rsidR="00897EFE">
        <w:t xml:space="preserve">calendar </w:t>
      </w:r>
      <w:proofErr w:type="spellStart"/>
      <w:r>
        <w:t>days notice</w:t>
      </w:r>
      <w:proofErr w:type="spellEnd"/>
      <w:r>
        <w:t xml:space="preserve"> to the industry before implementing those changes.  This will allow time for other service providers to make necessary adjustments.</w:t>
      </w:r>
    </w:p>
    <w:p w:rsidR="009A56FF" w:rsidRDefault="009A56FF">
      <w:pPr>
        <w:pStyle w:val="BodyText3"/>
      </w:pPr>
    </w:p>
    <w:p w:rsidR="009A56FF" w:rsidRPr="009F3936" w:rsidRDefault="00F4086A">
      <w:pPr>
        <w:pStyle w:val="BodyText3"/>
      </w:pPr>
      <w:r>
        <w:t xml:space="preserve">The service provider making changes to their LSR interface systems or processes should make reasonable effort to notify other service providers who port with them.  </w:t>
      </w:r>
    </w:p>
    <w:p w:rsidR="00DD4393" w:rsidRDefault="00DD4393" w:rsidP="00320C0C"/>
    <w:p w:rsidR="003F69B7" w:rsidRPr="00456FF1" w:rsidRDefault="003F69B7" w:rsidP="003F69B7">
      <w:pPr>
        <w:rPr>
          <w:rFonts w:ascii="Calibri" w:hAnsi="Calibri" w:cs="Calibri"/>
          <w:sz w:val="22"/>
          <w:szCs w:val="22"/>
        </w:rPr>
      </w:pPr>
    </w:p>
    <w:p w:rsidR="003F69B7" w:rsidRPr="00EE728F" w:rsidRDefault="003F69B7" w:rsidP="00320C0C">
      <w:pPr>
        <w:pStyle w:val="ListParagraph"/>
        <w:numPr>
          <w:ilvl w:val="0"/>
          <w:numId w:val="2"/>
        </w:numPr>
      </w:pPr>
      <w:r w:rsidRPr="00320C0C">
        <w:rPr>
          <w:b/>
        </w:rPr>
        <w:t>Final Resolution:</w:t>
      </w:r>
    </w:p>
    <w:p w:rsidR="003F69B7" w:rsidRPr="00EE728F" w:rsidRDefault="003F69B7" w:rsidP="003F69B7">
      <w:pPr>
        <w:ind w:left="360"/>
      </w:pPr>
    </w:p>
    <w:p w:rsidR="003F69B7" w:rsidRPr="00EE728F" w:rsidRDefault="000059B7" w:rsidP="0050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0059B7">
        <w:t xml:space="preserve">BP 064 - Industry Notification of Service Provider LNP System and Process Changes was updated to change the proposed notification interval, reviewed and accepted at the 2/9/10 LNPA WG  </w:t>
      </w:r>
      <w:r w:rsidR="00F12770" w:rsidRPr="00F12770">
        <w:t>PIM 076 was CLOSED</w:t>
      </w:r>
      <w:bookmarkStart w:id="0" w:name="_GoBack"/>
      <w:bookmarkEnd w:id="0"/>
    </w:p>
    <w:p w:rsidR="003F69B7" w:rsidRPr="00456FF1" w:rsidRDefault="003F69B7" w:rsidP="003F69B7">
      <w:pPr>
        <w:rPr>
          <w:rFonts w:ascii="Calibri" w:hAnsi="Calibri" w:cs="Calibri"/>
          <w:sz w:val="22"/>
          <w:szCs w:val="22"/>
        </w:rPr>
      </w:pPr>
    </w:p>
    <w:p w:rsidR="003F69B7" w:rsidRDefault="003F69B7" w:rsidP="0050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b/>
          <w:u w:val="single"/>
        </w:rPr>
        <w:t>LNPA WG:</w:t>
      </w:r>
      <w:r>
        <w:t xml:space="preserve"> (only)</w:t>
      </w:r>
      <w:r>
        <w:tab/>
      </w:r>
      <w:r>
        <w:tab/>
      </w:r>
      <w:r>
        <w:tab/>
      </w:r>
      <w:r>
        <w:tab/>
        <w:t xml:space="preserve">Final Resolution Date: </w:t>
      </w:r>
      <w:r w:rsidR="000059B7">
        <w:t>2/9/10</w:t>
      </w:r>
    </w:p>
    <w:p w:rsidR="003F69B7" w:rsidRDefault="003F69B7" w:rsidP="0050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t>Item Number: PIM 076 v4</w:t>
      </w:r>
      <w:r>
        <w:tab/>
      </w:r>
      <w:r>
        <w:tab/>
      </w:r>
      <w:r>
        <w:tab/>
        <w:t xml:space="preserve">Related Documents: </w:t>
      </w:r>
      <w:r w:rsidR="00A158E7">
        <w:t xml:space="preserve">BP </w:t>
      </w:r>
      <w:r w:rsidR="000059B7">
        <w:t>064</w:t>
      </w:r>
    </w:p>
    <w:p w:rsidR="003F69B7" w:rsidRDefault="003F69B7" w:rsidP="0050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t xml:space="preserve">Issue Resolution Referred </w:t>
      </w:r>
      <w:proofErr w:type="gramStart"/>
      <w:r>
        <w:t>to:</w:t>
      </w:r>
      <w:proofErr w:type="gramEnd"/>
      <w:r>
        <w:t xml:space="preserve"> _________________________________________________________</w:t>
      </w:r>
    </w:p>
    <w:p w:rsidR="003F69B7" w:rsidRDefault="003F69B7" w:rsidP="0050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t xml:space="preserve">Why Issue </w:t>
      </w:r>
      <w:proofErr w:type="gramStart"/>
      <w:r>
        <w:t>Referred:</w:t>
      </w:r>
      <w:proofErr w:type="gramEnd"/>
      <w:r>
        <w:t xml:space="preserve"> __________________________________________________________________ ____________________________________________________________________________________________________________________________________________________________________________</w:t>
      </w:r>
    </w:p>
    <w:p w:rsidR="003F69B7" w:rsidRDefault="003F69B7" w:rsidP="00507D23"/>
    <w:sectPr w:rsidR="003F69B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63" w:rsidRDefault="00022763">
      <w:r>
        <w:separator/>
      </w:r>
    </w:p>
  </w:endnote>
  <w:endnote w:type="continuationSeparator" w:id="0">
    <w:p w:rsidR="00022763" w:rsidRDefault="0002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93" w:rsidRDefault="00DD4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4393" w:rsidRDefault="00DD4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93" w:rsidRDefault="00DD4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D23">
      <w:rPr>
        <w:rStyle w:val="PageNumber"/>
        <w:noProof/>
      </w:rPr>
      <w:t>2</w:t>
    </w:r>
    <w:r>
      <w:rPr>
        <w:rStyle w:val="PageNumber"/>
      </w:rPr>
      <w:fldChar w:fldCharType="end"/>
    </w:r>
  </w:p>
  <w:p w:rsidR="00DD4393" w:rsidRDefault="00DD4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63" w:rsidRDefault="00022763">
      <w:r>
        <w:separator/>
      </w:r>
    </w:p>
  </w:footnote>
  <w:footnote w:type="continuationSeparator" w:id="0">
    <w:p w:rsidR="00022763" w:rsidRDefault="0002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93" w:rsidRDefault="00DD4393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/>
        <w:b/>
        <w:bCs/>
        <w:spacing w:val="-5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22" w:hanging="360"/>
      </w:pPr>
      <w:rPr>
        <w:rFonts w:ascii="Times New Roman" w:hAnsi="Times New Roman" w:cs="Times New Roman"/>
        <w:b w:val="0"/>
        <w:bCs w:val="0"/>
        <w:spacing w:val="-25"/>
        <w:w w:val="100"/>
        <w:sz w:val="22"/>
        <w:szCs w:val="22"/>
      </w:rPr>
    </w:lvl>
    <w:lvl w:ilvl="2">
      <w:numFmt w:val="bullet"/>
      <w:lvlText w:val="•"/>
      <w:lvlJc w:val="left"/>
      <w:pPr>
        <w:ind w:left="1822" w:hanging="360"/>
      </w:pPr>
    </w:lvl>
    <w:lvl w:ilvl="3">
      <w:numFmt w:val="bullet"/>
      <w:lvlText w:val="•"/>
      <w:lvlJc w:val="left"/>
      <w:pPr>
        <w:ind w:left="2724" w:hanging="360"/>
      </w:pPr>
    </w:lvl>
    <w:lvl w:ilvl="4">
      <w:numFmt w:val="bullet"/>
      <w:lvlText w:val="•"/>
      <w:lvlJc w:val="left"/>
      <w:pPr>
        <w:ind w:left="3626" w:hanging="360"/>
      </w:pPr>
    </w:lvl>
    <w:lvl w:ilvl="5">
      <w:numFmt w:val="bullet"/>
      <w:lvlText w:val="•"/>
      <w:lvlJc w:val="left"/>
      <w:pPr>
        <w:ind w:left="4528" w:hanging="360"/>
      </w:pPr>
    </w:lvl>
    <w:lvl w:ilvl="6">
      <w:numFmt w:val="bullet"/>
      <w:lvlText w:val="•"/>
      <w:lvlJc w:val="left"/>
      <w:pPr>
        <w:ind w:left="5431" w:hanging="360"/>
      </w:pPr>
    </w:lvl>
    <w:lvl w:ilvl="7">
      <w:numFmt w:val="bullet"/>
      <w:lvlText w:val="•"/>
      <w:lvlJc w:val="left"/>
      <w:pPr>
        <w:ind w:left="6333" w:hanging="360"/>
      </w:pPr>
    </w:lvl>
    <w:lvl w:ilvl="8">
      <w:numFmt w:val="bullet"/>
      <w:lvlText w:val="•"/>
      <w:lvlJc w:val="left"/>
      <w:pPr>
        <w:ind w:left="7235" w:hanging="360"/>
      </w:p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0545BC"/>
    <w:multiLevelType w:val="multilevel"/>
    <w:tmpl w:val="D6E22C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ind w:left="922" w:hanging="360"/>
      </w:pPr>
      <w:rPr>
        <w:rFonts w:ascii="Times New Roman" w:hAnsi="Times New Roman" w:cs="Times New Roman"/>
        <w:b w:val="0"/>
        <w:bCs w:val="0"/>
        <w:spacing w:val="-25"/>
        <w:w w:val="100"/>
        <w:sz w:val="22"/>
        <w:szCs w:val="22"/>
      </w:rPr>
    </w:lvl>
    <w:lvl w:ilvl="2">
      <w:numFmt w:val="bullet"/>
      <w:lvlText w:val="•"/>
      <w:lvlJc w:val="left"/>
      <w:pPr>
        <w:ind w:left="1822" w:hanging="360"/>
      </w:pPr>
    </w:lvl>
    <w:lvl w:ilvl="3">
      <w:numFmt w:val="bullet"/>
      <w:lvlText w:val="•"/>
      <w:lvlJc w:val="left"/>
      <w:pPr>
        <w:ind w:left="2724" w:hanging="360"/>
      </w:pPr>
    </w:lvl>
    <w:lvl w:ilvl="4">
      <w:numFmt w:val="bullet"/>
      <w:lvlText w:val="•"/>
      <w:lvlJc w:val="left"/>
      <w:pPr>
        <w:ind w:left="3626" w:hanging="360"/>
      </w:pPr>
    </w:lvl>
    <w:lvl w:ilvl="5">
      <w:numFmt w:val="bullet"/>
      <w:lvlText w:val="•"/>
      <w:lvlJc w:val="left"/>
      <w:pPr>
        <w:ind w:left="4528" w:hanging="360"/>
      </w:pPr>
    </w:lvl>
    <w:lvl w:ilvl="6">
      <w:numFmt w:val="bullet"/>
      <w:lvlText w:val="•"/>
      <w:lvlJc w:val="left"/>
      <w:pPr>
        <w:ind w:left="5431" w:hanging="360"/>
      </w:pPr>
    </w:lvl>
    <w:lvl w:ilvl="7">
      <w:numFmt w:val="bullet"/>
      <w:lvlText w:val="•"/>
      <w:lvlJc w:val="left"/>
      <w:pPr>
        <w:ind w:left="6333" w:hanging="360"/>
      </w:pPr>
    </w:lvl>
    <w:lvl w:ilvl="8">
      <w:numFmt w:val="bullet"/>
      <w:lvlText w:val="•"/>
      <w:lvlJc w:val="left"/>
      <w:pPr>
        <w:ind w:left="7235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FB"/>
    <w:rsid w:val="000059B7"/>
    <w:rsid w:val="00022763"/>
    <w:rsid w:val="000228FB"/>
    <w:rsid w:val="000E4A9C"/>
    <w:rsid w:val="00120DFD"/>
    <w:rsid w:val="001929B9"/>
    <w:rsid w:val="00211620"/>
    <w:rsid w:val="002B266F"/>
    <w:rsid w:val="002D4006"/>
    <w:rsid w:val="00320C0C"/>
    <w:rsid w:val="003330D3"/>
    <w:rsid w:val="0034791F"/>
    <w:rsid w:val="00351783"/>
    <w:rsid w:val="003F2E30"/>
    <w:rsid w:val="003F69B7"/>
    <w:rsid w:val="004214F3"/>
    <w:rsid w:val="00507D23"/>
    <w:rsid w:val="0052073F"/>
    <w:rsid w:val="00565CCF"/>
    <w:rsid w:val="005942F9"/>
    <w:rsid w:val="005A482E"/>
    <w:rsid w:val="005A71B8"/>
    <w:rsid w:val="005D641A"/>
    <w:rsid w:val="005E3F07"/>
    <w:rsid w:val="005F474F"/>
    <w:rsid w:val="007C3C5B"/>
    <w:rsid w:val="007F1085"/>
    <w:rsid w:val="00897EFE"/>
    <w:rsid w:val="009073F0"/>
    <w:rsid w:val="009A56FF"/>
    <w:rsid w:val="009F3936"/>
    <w:rsid w:val="009F41A5"/>
    <w:rsid w:val="00A158E7"/>
    <w:rsid w:val="00A70BF4"/>
    <w:rsid w:val="00A94335"/>
    <w:rsid w:val="00AD502B"/>
    <w:rsid w:val="00B705A7"/>
    <w:rsid w:val="00B80591"/>
    <w:rsid w:val="00B92DD6"/>
    <w:rsid w:val="00C6197E"/>
    <w:rsid w:val="00D6468F"/>
    <w:rsid w:val="00DB55BD"/>
    <w:rsid w:val="00DD4393"/>
    <w:rsid w:val="00E50216"/>
    <w:rsid w:val="00E918E1"/>
    <w:rsid w:val="00F12770"/>
    <w:rsid w:val="00F4086A"/>
    <w:rsid w:val="00F5122B"/>
    <w:rsid w:val="00F83EAE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0D38D-9521-49DC-B89D-339572EC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Hyperlink">
    <w:name w:val="Hyperlink"/>
    <w:basedOn w:val="DefaultParagraphFont"/>
    <w:uiPriority w:val="99"/>
    <w:unhideWhenUsed/>
    <w:rsid w:val="002B26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F69B7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7566@at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g2186@at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4441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4990</CharactersWithSpaces>
  <SharedDoc>false</SharedDoc>
  <HLinks>
    <vt:vector size="12" baseType="variant"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mailto:rs7566@att.com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mailto:tg2186@att.com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8</cp:revision>
  <cp:lastPrinted>2009-11-03T13:20:00Z</cp:lastPrinted>
  <dcterms:created xsi:type="dcterms:W3CDTF">2020-02-18T15:18:00Z</dcterms:created>
  <dcterms:modified xsi:type="dcterms:W3CDTF">2020-04-22T15:07:00Z</dcterms:modified>
</cp:coreProperties>
</file>