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95" w:rsidRDefault="00352F95">
      <w:pPr>
        <w:pStyle w:val="Title"/>
        <w:shd w:val="clear" w:color="auto" w:fill="C0C0C0"/>
      </w:pPr>
      <w:r>
        <w:t>LNP Problem/Issue Identification and Description Form</w:t>
      </w:r>
    </w:p>
    <w:p w:rsidR="00352F95" w:rsidRDefault="00352F95">
      <w:pPr>
        <w:rPr>
          <w:sz w:val="24"/>
        </w:rPr>
      </w:pPr>
    </w:p>
    <w:p w:rsidR="00352F95" w:rsidRDefault="00352F95">
      <w:pPr>
        <w:rPr>
          <w:sz w:val="24"/>
        </w:rPr>
      </w:pPr>
    </w:p>
    <w:p w:rsidR="00352F95" w:rsidRPr="00DE0B78" w:rsidRDefault="00352F95" w:rsidP="00DE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:  </w:t>
      </w:r>
      <w:r w:rsidR="00C32E96" w:rsidRPr="0013726F">
        <w:rPr>
          <w:color w:val="008000"/>
          <w:sz w:val="24"/>
        </w:rPr>
        <w:t>10</w:t>
      </w:r>
      <w:r w:rsidRPr="0013726F">
        <w:rPr>
          <w:color w:val="008000"/>
          <w:sz w:val="24"/>
        </w:rPr>
        <w:t xml:space="preserve"> /</w:t>
      </w:r>
      <w:r w:rsidR="00C32E96" w:rsidRPr="0013726F">
        <w:rPr>
          <w:color w:val="008000"/>
          <w:sz w:val="24"/>
        </w:rPr>
        <w:t>16</w:t>
      </w:r>
      <w:r w:rsidRPr="0013726F">
        <w:rPr>
          <w:color w:val="008000"/>
          <w:sz w:val="24"/>
        </w:rPr>
        <w:t>/</w:t>
      </w:r>
      <w:r w:rsidR="00C32E96" w:rsidRPr="0013726F">
        <w:rPr>
          <w:color w:val="008000"/>
          <w:sz w:val="24"/>
        </w:rPr>
        <w:t>2012</w:t>
      </w:r>
      <w:r w:rsidR="00DE0B78">
        <w:rPr>
          <w:color w:val="008000"/>
          <w:sz w:val="24"/>
        </w:rPr>
        <w:t xml:space="preserve">                              </w:t>
      </w:r>
      <w:r w:rsidR="00DE0B78">
        <w:rPr>
          <w:color w:val="008000"/>
          <w:sz w:val="24"/>
        </w:rPr>
        <w:tab/>
      </w:r>
      <w:r w:rsidR="00DE0B78">
        <w:rPr>
          <w:color w:val="008000"/>
          <w:sz w:val="24"/>
        </w:rPr>
        <w:tab/>
      </w:r>
      <w:r w:rsidR="00DE0B78">
        <w:rPr>
          <w:color w:val="008000"/>
          <w:sz w:val="24"/>
        </w:rPr>
        <w:tab/>
      </w:r>
      <w:r w:rsidR="00DE0B78">
        <w:rPr>
          <w:color w:val="008000"/>
          <w:sz w:val="24"/>
        </w:rPr>
        <w:tab/>
      </w:r>
      <w:r w:rsidR="00DE0B78" w:rsidRPr="00DE0B78">
        <w:rPr>
          <w:b/>
          <w:sz w:val="24"/>
        </w:rPr>
        <w:t>PIM 81</w:t>
      </w:r>
    </w:p>
    <w:p w:rsidR="00352F95" w:rsidRDefault="0035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Pr="0013726F">
        <w:rPr>
          <w:sz w:val="24"/>
        </w:rPr>
        <w:t>:</w:t>
      </w:r>
      <w:r w:rsidR="0013726F">
        <w:rPr>
          <w:sz w:val="24"/>
        </w:rPr>
        <w:t xml:space="preserve">  </w:t>
      </w:r>
      <w:r w:rsidR="00C32E96" w:rsidRPr="0013726F">
        <w:rPr>
          <w:color w:val="008000"/>
          <w:sz w:val="24"/>
        </w:rPr>
        <w:t>CenturyLink</w:t>
      </w:r>
      <w:r w:rsidR="00940A95">
        <w:rPr>
          <w:color w:val="008000"/>
          <w:sz w:val="24"/>
        </w:rPr>
        <w:t xml:space="preserve">, </w:t>
      </w:r>
      <w:r w:rsidR="0083574A" w:rsidRPr="00940A95">
        <w:rPr>
          <w:color w:val="008000"/>
          <w:sz w:val="24"/>
        </w:rPr>
        <w:t>Windst</w:t>
      </w:r>
      <w:r w:rsidR="00940A95">
        <w:rPr>
          <w:color w:val="008000"/>
          <w:sz w:val="24"/>
        </w:rPr>
        <w:t>r</w:t>
      </w:r>
      <w:r w:rsidR="0083574A" w:rsidRPr="00940A95">
        <w:rPr>
          <w:color w:val="008000"/>
          <w:sz w:val="24"/>
        </w:rPr>
        <w:t>eam</w:t>
      </w:r>
    </w:p>
    <w:p w:rsidR="00940A95" w:rsidRDefault="0035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="0013726F">
        <w:rPr>
          <w:sz w:val="24"/>
        </w:rPr>
        <w:t xml:space="preserve">   </w:t>
      </w:r>
      <w:r w:rsidR="00C32E96" w:rsidRPr="0013726F">
        <w:rPr>
          <w:color w:val="008000"/>
          <w:sz w:val="24"/>
        </w:rPr>
        <w:t>Jan Doell</w:t>
      </w:r>
      <w:r w:rsidR="00932A77">
        <w:rPr>
          <w:color w:val="008000"/>
          <w:sz w:val="24"/>
        </w:rPr>
        <w:t xml:space="preserve">, </w:t>
      </w:r>
      <w:r w:rsidR="0083574A" w:rsidRPr="00940A95">
        <w:rPr>
          <w:color w:val="008000"/>
          <w:sz w:val="24"/>
        </w:rPr>
        <w:t>Traci Brun</w:t>
      </w:r>
      <w:r w:rsidR="00CA1319">
        <w:rPr>
          <w:color w:val="008000"/>
          <w:sz w:val="24"/>
        </w:rPr>
        <w:t>n</w:t>
      </w:r>
      <w:r w:rsidR="0083574A" w:rsidRPr="00940A95">
        <w:rPr>
          <w:color w:val="008000"/>
          <w:sz w:val="24"/>
        </w:rPr>
        <w:t>er</w:t>
      </w:r>
    </w:p>
    <w:p w:rsidR="00352F95" w:rsidRDefault="0094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</w:t>
      </w:r>
      <w:r w:rsidR="00352F95">
        <w:rPr>
          <w:b/>
          <w:sz w:val="24"/>
        </w:rPr>
        <w:t>Contact Number</w:t>
      </w:r>
      <w:r w:rsidR="00352F95">
        <w:rPr>
          <w:sz w:val="24"/>
        </w:rPr>
        <w:t xml:space="preserve"> </w:t>
      </w:r>
      <w:r w:rsidR="00C32E96" w:rsidRPr="0013726F">
        <w:rPr>
          <w:color w:val="008000"/>
          <w:sz w:val="24"/>
        </w:rPr>
        <w:t>303-707-6992</w:t>
      </w:r>
      <w:r w:rsidR="00932A77">
        <w:rPr>
          <w:color w:val="008000"/>
          <w:sz w:val="24"/>
        </w:rPr>
        <w:t xml:space="preserve">, </w:t>
      </w:r>
      <w:r w:rsidR="00AC4B12" w:rsidRPr="00940A95">
        <w:rPr>
          <w:color w:val="008000"/>
          <w:sz w:val="24"/>
        </w:rPr>
        <w:t>501-748-6555</w:t>
      </w:r>
    </w:p>
    <w:p w:rsidR="00352F95" w:rsidRDefault="0035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4"/>
        </w:rPr>
      </w:pPr>
      <w:r>
        <w:rPr>
          <w:sz w:val="24"/>
        </w:rPr>
        <w:t xml:space="preserve"> </w:t>
      </w:r>
      <w:r w:rsidR="00940A95">
        <w:rPr>
          <w:sz w:val="24"/>
        </w:rPr>
        <w:t xml:space="preserve">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hyperlink r:id="rId7" w:history="1">
        <w:r w:rsidR="00932A77" w:rsidRPr="006A077C">
          <w:rPr>
            <w:rStyle w:val="Hyperlink"/>
            <w:sz w:val="24"/>
          </w:rPr>
          <w:t>jan.doell@centurylink.com</w:t>
        </w:r>
      </w:hyperlink>
      <w:r w:rsidR="00932A77">
        <w:rPr>
          <w:color w:val="008000"/>
          <w:sz w:val="24"/>
        </w:rPr>
        <w:t xml:space="preserve">, </w:t>
      </w:r>
      <w:hyperlink r:id="rId8" w:history="1">
        <w:r w:rsidR="008A29E9" w:rsidRPr="006C13F3">
          <w:rPr>
            <w:rStyle w:val="Hyperlink"/>
            <w:sz w:val="24"/>
          </w:rPr>
          <w:t>traci.brunner@windstream.com</w:t>
        </w:r>
      </w:hyperlink>
    </w:p>
    <w:p w:rsidR="00932A77" w:rsidRDefault="0093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4"/>
        </w:rPr>
      </w:pPr>
    </w:p>
    <w:p w:rsidR="00352F95" w:rsidRDefault="0035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352F95" w:rsidRDefault="00352F95">
      <w:pPr>
        <w:rPr>
          <w:sz w:val="24"/>
          <w:u w:val="single"/>
        </w:rPr>
      </w:pPr>
    </w:p>
    <w:p w:rsidR="00352F95" w:rsidRDefault="00352F95">
      <w:pPr>
        <w:rPr>
          <w:sz w:val="24"/>
          <w:u w:val="single"/>
        </w:rPr>
      </w:pPr>
    </w:p>
    <w:p w:rsidR="00352F95" w:rsidRDefault="00352F95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352F95" w:rsidRDefault="00352F95">
      <w:pPr>
        <w:rPr>
          <w:sz w:val="24"/>
        </w:rPr>
      </w:pPr>
    </w:p>
    <w:p w:rsidR="00850D16" w:rsidRDefault="007D2922">
      <w:pPr>
        <w:pStyle w:val="BodyText2"/>
        <w:rPr>
          <w:color w:val="008000"/>
          <w:szCs w:val="24"/>
        </w:rPr>
      </w:pPr>
      <w:r w:rsidRPr="008E568E">
        <w:rPr>
          <w:color w:val="008000"/>
          <w:szCs w:val="24"/>
        </w:rPr>
        <w:t xml:space="preserve">It has come to the attention of </w:t>
      </w:r>
      <w:r w:rsidR="008440EB">
        <w:rPr>
          <w:color w:val="008000"/>
          <w:szCs w:val="24"/>
        </w:rPr>
        <w:t>P</w:t>
      </w:r>
      <w:r w:rsidR="00F3099A">
        <w:rPr>
          <w:color w:val="008000"/>
          <w:szCs w:val="24"/>
        </w:rPr>
        <w:t xml:space="preserve">roviders </w:t>
      </w:r>
      <w:r w:rsidRPr="008E568E">
        <w:rPr>
          <w:color w:val="008000"/>
          <w:szCs w:val="24"/>
        </w:rPr>
        <w:t xml:space="preserve">that </w:t>
      </w:r>
      <w:r w:rsidR="00850D16">
        <w:rPr>
          <w:color w:val="008000"/>
          <w:szCs w:val="24"/>
        </w:rPr>
        <w:t>a</w:t>
      </w:r>
      <w:r w:rsidRPr="008E568E">
        <w:rPr>
          <w:color w:val="008000"/>
          <w:szCs w:val="24"/>
        </w:rPr>
        <w:t xml:space="preserve"> </w:t>
      </w:r>
      <w:r w:rsidR="00566741" w:rsidRPr="008E568E">
        <w:rPr>
          <w:color w:val="008000"/>
          <w:szCs w:val="24"/>
        </w:rPr>
        <w:t xml:space="preserve">New </w:t>
      </w:r>
      <w:r w:rsidR="00F3099A">
        <w:rPr>
          <w:color w:val="008000"/>
          <w:szCs w:val="24"/>
        </w:rPr>
        <w:t>P</w:t>
      </w:r>
      <w:r w:rsidR="00850D16">
        <w:rPr>
          <w:color w:val="008000"/>
          <w:szCs w:val="24"/>
        </w:rPr>
        <w:t>rovider is</w:t>
      </w:r>
      <w:r w:rsidRPr="008E568E">
        <w:rPr>
          <w:color w:val="008000"/>
          <w:szCs w:val="24"/>
        </w:rPr>
        <w:t xml:space="preserve"> using an NPAC modify message to unilaterally move up the port due date once the T1/T2 timers have been stopped</w:t>
      </w:r>
      <w:r w:rsidR="00D16D42">
        <w:rPr>
          <w:color w:val="008000"/>
          <w:szCs w:val="24"/>
        </w:rPr>
        <w:t xml:space="preserve"> due to both </w:t>
      </w:r>
      <w:r w:rsidR="00D16D42" w:rsidRPr="00D16D42">
        <w:rPr>
          <w:i/>
          <w:color w:val="008000"/>
          <w:szCs w:val="24"/>
        </w:rPr>
        <w:t>matching</w:t>
      </w:r>
      <w:r w:rsidR="00D16D42">
        <w:rPr>
          <w:color w:val="008000"/>
          <w:szCs w:val="24"/>
        </w:rPr>
        <w:t xml:space="preserve"> SV Creates arriving at NPAC</w:t>
      </w:r>
      <w:r w:rsidR="00F3099A">
        <w:rPr>
          <w:color w:val="008000"/>
          <w:szCs w:val="24"/>
        </w:rPr>
        <w:t>.</w:t>
      </w:r>
      <w:r w:rsidR="00352F95" w:rsidRPr="008E568E">
        <w:rPr>
          <w:color w:val="008000"/>
          <w:szCs w:val="24"/>
        </w:rPr>
        <w:t xml:space="preserve"> </w:t>
      </w:r>
      <w:proofErr w:type="gramStart"/>
      <w:r w:rsidR="00C02D4A" w:rsidRPr="008E568E">
        <w:rPr>
          <w:color w:val="008000"/>
          <w:szCs w:val="24"/>
        </w:rPr>
        <w:t>This unilateral acceleration of the D</w:t>
      </w:r>
      <w:r w:rsidR="008440EB">
        <w:rPr>
          <w:color w:val="008000"/>
          <w:szCs w:val="24"/>
        </w:rPr>
        <w:t>ue Date (</w:t>
      </w:r>
      <w:r w:rsidR="00C02D4A" w:rsidRPr="008E568E">
        <w:rPr>
          <w:color w:val="008000"/>
          <w:szCs w:val="24"/>
        </w:rPr>
        <w:t>D</w:t>
      </w:r>
      <w:r w:rsidR="008440EB">
        <w:rPr>
          <w:color w:val="008000"/>
          <w:szCs w:val="24"/>
        </w:rPr>
        <w:t>D)</w:t>
      </w:r>
      <w:r w:rsidR="00AE5F0C" w:rsidRPr="008E568E">
        <w:rPr>
          <w:color w:val="008000"/>
          <w:szCs w:val="24"/>
        </w:rPr>
        <w:t xml:space="preserve"> </w:t>
      </w:r>
      <w:r w:rsidR="00C02D4A" w:rsidRPr="008E568E">
        <w:rPr>
          <w:color w:val="008000"/>
          <w:szCs w:val="24"/>
        </w:rPr>
        <w:t xml:space="preserve">by the </w:t>
      </w:r>
      <w:r w:rsidR="00F3099A">
        <w:rPr>
          <w:color w:val="008000"/>
          <w:szCs w:val="24"/>
        </w:rPr>
        <w:t>N</w:t>
      </w:r>
      <w:r w:rsidR="00566741" w:rsidRPr="008E568E">
        <w:rPr>
          <w:color w:val="008000"/>
          <w:szCs w:val="24"/>
        </w:rPr>
        <w:t xml:space="preserve">ew </w:t>
      </w:r>
      <w:r w:rsidR="00F3099A">
        <w:rPr>
          <w:color w:val="008000"/>
          <w:szCs w:val="24"/>
        </w:rPr>
        <w:t>P</w:t>
      </w:r>
      <w:r w:rsidR="00566741" w:rsidRPr="008E568E">
        <w:rPr>
          <w:color w:val="008000"/>
          <w:szCs w:val="24"/>
        </w:rPr>
        <w:t>rovide</w:t>
      </w:r>
      <w:r w:rsidR="00D16D42">
        <w:rPr>
          <w:color w:val="008000"/>
          <w:szCs w:val="24"/>
        </w:rPr>
        <w:t>r</w:t>
      </w:r>
      <w:r w:rsidR="00BA6125">
        <w:rPr>
          <w:color w:val="008000"/>
          <w:szCs w:val="24"/>
        </w:rPr>
        <w:t xml:space="preserve">, when not agreed to via a concurred LSR Supplement, </w:t>
      </w:r>
      <w:r w:rsidR="00C02D4A" w:rsidRPr="008E568E">
        <w:rPr>
          <w:color w:val="008000"/>
          <w:szCs w:val="24"/>
        </w:rPr>
        <w:t>is service affecting</w:t>
      </w:r>
      <w:r w:rsidR="008440EB">
        <w:rPr>
          <w:color w:val="008000"/>
          <w:szCs w:val="24"/>
        </w:rPr>
        <w:t xml:space="preserve"> </w:t>
      </w:r>
      <w:r w:rsidR="00BA6125">
        <w:rPr>
          <w:color w:val="008000"/>
          <w:szCs w:val="24"/>
        </w:rPr>
        <w:t xml:space="preserve">to the end user </w:t>
      </w:r>
      <w:r w:rsidR="008440EB">
        <w:rPr>
          <w:color w:val="008000"/>
          <w:szCs w:val="24"/>
        </w:rPr>
        <w:t>and goes against industry practice</w:t>
      </w:r>
      <w:r w:rsidR="000F5E19">
        <w:rPr>
          <w:color w:val="008000"/>
          <w:szCs w:val="24"/>
        </w:rPr>
        <w:t xml:space="preserve"> and the intent of the FCC mandated NANC’s LNP Process Flows</w:t>
      </w:r>
      <w:r w:rsidR="007F75CE">
        <w:rPr>
          <w:color w:val="008000"/>
          <w:szCs w:val="24"/>
        </w:rPr>
        <w:t xml:space="preserve">, </w:t>
      </w:r>
      <w:r w:rsidR="007F75CE">
        <w:rPr>
          <w:color w:val="008000"/>
        </w:rPr>
        <w:t>Figure 9, Flow A, Step 3 and Figure 10, Flow AA Step 4</w:t>
      </w:r>
      <w:r w:rsidR="006E20A3">
        <w:rPr>
          <w:color w:val="008000"/>
        </w:rPr>
        <w:t xml:space="preserve">, </w:t>
      </w:r>
      <w:r w:rsidR="007F75CE">
        <w:rPr>
          <w:color w:val="008000"/>
        </w:rPr>
        <w:t>which both state, “No NPAC SV may activate before the SV due date/time.”</w:t>
      </w:r>
      <w:proofErr w:type="gramEnd"/>
      <w:r w:rsidR="00352F95" w:rsidRPr="008E568E">
        <w:rPr>
          <w:color w:val="008000"/>
          <w:szCs w:val="24"/>
        </w:rPr>
        <w:t xml:space="preserve">  </w:t>
      </w:r>
    </w:p>
    <w:p w:rsidR="00352F95" w:rsidRDefault="00352F95">
      <w:pPr>
        <w:rPr>
          <w:sz w:val="24"/>
        </w:rPr>
      </w:pPr>
    </w:p>
    <w:p w:rsidR="00352F95" w:rsidRDefault="00352F95">
      <w:pPr>
        <w:rPr>
          <w:sz w:val="24"/>
        </w:rPr>
      </w:pPr>
    </w:p>
    <w:p w:rsidR="00352F95" w:rsidRDefault="00352F95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352F95" w:rsidRDefault="00352F9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8E163A" w:rsidRDefault="00352F95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</w:t>
      </w:r>
    </w:p>
    <w:p w:rsidR="00D46836" w:rsidRPr="008E568E" w:rsidRDefault="008E163A">
      <w:pPr>
        <w:pStyle w:val="BodyText2"/>
        <w:rPr>
          <w:color w:val="008000"/>
          <w:szCs w:val="24"/>
        </w:rPr>
      </w:pPr>
      <w:r w:rsidRPr="008E568E">
        <w:rPr>
          <w:color w:val="008000"/>
          <w:szCs w:val="24"/>
        </w:rPr>
        <w:t xml:space="preserve">The </w:t>
      </w:r>
      <w:r w:rsidR="00B51EE4" w:rsidRPr="008E568E">
        <w:rPr>
          <w:color w:val="008000"/>
          <w:szCs w:val="24"/>
        </w:rPr>
        <w:t xml:space="preserve">New </w:t>
      </w:r>
      <w:r w:rsidR="00D46836" w:rsidRPr="008E568E">
        <w:rPr>
          <w:color w:val="008000"/>
          <w:szCs w:val="24"/>
        </w:rPr>
        <w:t>P</w:t>
      </w:r>
      <w:r w:rsidR="00B51EE4" w:rsidRPr="008E568E">
        <w:rPr>
          <w:color w:val="008000"/>
          <w:szCs w:val="24"/>
        </w:rPr>
        <w:t>rovider</w:t>
      </w:r>
      <w:r w:rsidRPr="008E568E">
        <w:rPr>
          <w:color w:val="008000"/>
          <w:szCs w:val="24"/>
        </w:rPr>
        <w:t xml:space="preserve"> submits the LSR to the </w:t>
      </w:r>
      <w:r w:rsidR="00B51EE4" w:rsidRPr="008E568E">
        <w:rPr>
          <w:color w:val="008000"/>
          <w:szCs w:val="24"/>
        </w:rPr>
        <w:t xml:space="preserve">Old </w:t>
      </w:r>
      <w:r w:rsidR="008440EB">
        <w:rPr>
          <w:color w:val="008000"/>
          <w:szCs w:val="24"/>
        </w:rPr>
        <w:t>P</w:t>
      </w:r>
      <w:r w:rsidR="00B51EE4" w:rsidRPr="008E568E">
        <w:rPr>
          <w:color w:val="008000"/>
          <w:szCs w:val="24"/>
        </w:rPr>
        <w:t>rovider</w:t>
      </w:r>
      <w:r w:rsidRPr="008E568E">
        <w:rPr>
          <w:color w:val="008000"/>
          <w:szCs w:val="24"/>
        </w:rPr>
        <w:t>. The O</w:t>
      </w:r>
      <w:r w:rsidR="00B51EE4" w:rsidRPr="008E568E">
        <w:rPr>
          <w:color w:val="008000"/>
          <w:szCs w:val="24"/>
        </w:rPr>
        <w:t xml:space="preserve">ld Provider gives a </w:t>
      </w:r>
      <w:r w:rsidRPr="008E568E">
        <w:rPr>
          <w:color w:val="008000"/>
          <w:szCs w:val="24"/>
        </w:rPr>
        <w:t xml:space="preserve">FOC </w:t>
      </w:r>
      <w:r w:rsidR="00B51EE4" w:rsidRPr="008E568E">
        <w:rPr>
          <w:color w:val="008000"/>
          <w:szCs w:val="24"/>
        </w:rPr>
        <w:t xml:space="preserve">to </w:t>
      </w:r>
      <w:r w:rsidRPr="008E568E">
        <w:rPr>
          <w:color w:val="008000"/>
          <w:szCs w:val="24"/>
        </w:rPr>
        <w:t xml:space="preserve">the LSR. The </w:t>
      </w:r>
      <w:r w:rsidR="00B51EE4" w:rsidRPr="008E568E">
        <w:rPr>
          <w:color w:val="008000"/>
          <w:szCs w:val="24"/>
        </w:rPr>
        <w:t xml:space="preserve">Old and New </w:t>
      </w:r>
      <w:r w:rsidR="00D46836" w:rsidRPr="008E568E">
        <w:rPr>
          <w:color w:val="008000"/>
          <w:szCs w:val="24"/>
        </w:rPr>
        <w:t>P</w:t>
      </w:r>
      <w:r w:rsidR="00B51EE4" w:rsidRPr="008E568E">
        <w:rPr>
          <w:color w:val="008000"/>
          <w:szCs w:val="24"/>
        </w:rPr>
        <w:t xml:space="preserve">roviders </w:t>
      </w:r>
      <w:r w:rsidRPr="008E568E">
        <w:rPr>
          <w:color w:val="008000"/>
          <w:szCs w:val="24"/>
        </w:rPr>
        <w:t xml:space="preserve">send the matching SV Creates to NPAC, both which must match on the DD given by the </w:t>
      </w:r>
      <w:r w:rsidR="00B51EE4" w:rsidRPr="008E568E">
        <w:rPr>
          <w:color w:val="008000"/>
          <w:szCs w:val="24"/>
        </w:rPr>
        <w:t>Old Provider</w:t>
      </w:r>
      <w:r w:rsidRPr="008E568E">
        <w:rPr>
          <w:color w:val="008000"/>
          <w:szCs w:val="24"/>
        </w:rPr>
        <w:t xml:space="preserve"> on the FOC. Once matching SV Create</w:t>
      </w:r>
      <w:r w:rsidR="00D46836" w:rsidRPr="008E568E">
        <w:rPr>
          <w:color w:val="008000"/>
          <w:szCs w:val="24"/>
        </w:rPr>
        <w:t>s</w:t>
      </w:r>
      <w:r w:rsidR="00B51EE4" w:rsidRPr="008E568E">
        <w:rPr>
          <w:color w:val="008000"/>
          <w:szCs w:val="24"/>
        </w:rPr>
        <w:t xml:space="preserve"> </w:t>
      </w:r>
      <w:r w:rsidRPr="008E568E">
        <w:rPr>
          <w:color w:val="008000"/>
          <w:szCs w:val="24"/>
        </w:rPr>
        <w:t>reach</w:t>
      </w:r>
      <w:r w:rsidR="00B51EE4" w:rsidRPr="008E568E">
        <w:rPr>
          <w:color w:val="008000"/>
          <w:szCs w:val="24"/>
        </w:rPr>
        <w:t xml:space="preserve"> the </w:t>
      </w:r>
      <w:r w:rsidRPr="008E568E">
        <w:rPr>
          <w:color w:val="008000"/>
          <w:szCs w:val="24"/>
        </w:rPr>
        <w:t xml:space="preserve">NPAC, the T1/T2 timers </w:t>
      </w:r>
      <w:proofErr w:type="gramStart"/>
      <w:r w:rsidRPr="008E568E">
        <w:rPr>
          <w:color w:val="008000"/>
          <w:szCs w:val="24"/>
        </w:rPr>
        <w:t>are stopped</w:t>
      </w:r>
      <w:proofErr w:type="gramEnd"/>
      <w:r w:rsidRPr="008E568E">
        <w:rPr>
          <w:color w:val="008000"/>
          <w:szCs w:val="24"/>
        </w:rPr>
        <w:t xml:space="preserve">. </w:t>
      </w:r>
      <w:r w:rsidR="00B51EE4" w:rsidRPr="008E568E">
        <w:rPr>
          <w:color w:val="008000"/>
          <w:szCs w:val="24"/>
        </w:rPr>
        <w:t xml:space="preserve">The </w:t>
      </w:r>
      <w:r w:rsidR="00D46836" w:rsidRPr="008E568E">
        <w:rPr>
          <w:color w:val="008000"/>
          <w:szCs w:val="24"/>
        </w:rPr>
        <w:t>N</w:t>
      </w:r>
      <w:r w:rsidR="00B51EE4" w:rsidRPr="008E568E">
        <w:rPr>
          <w:color w:val="008000"/>
          <w:szCs w:val="24"/>
        </w:rPr>
        <w:t xml:space="preserve">ew </w:t>
      </w:r>
      <w:r w:rsidR="00D46836" w:rsidRPr="008E568E">
        <w:rPr>
          <w:color w:val="008000"/>
          <w:szCs w:val="24"/>
        </w:rPr>
        <w:t>P</w:t>
      </w:r>
      <w:r w:rsidR="00B51EE4" w:rsidRPr="008E568E">
        <w:rPr>
          <w:color w:val="008000"/>
          <w:szCs w:val="24"/>
        </w:rPr>
        <w:t xml:space="preserve">rovider then does a unilateral modify of the </w:t>
      </w:r>
      <w:r w:rsidR="00D46836" w:rsidRPr="008E568E">
        <w:rPr>
          <w:color w:val="008000"/>
          <w:szCs w:val="24"/>
        </w:rPr>
        <w:t>SV Create</w:t>
      </w:r>
      <w:r w:rsidR="00B51EE4" w:rsidRPr="008E568E">
        <w:rPr>
          <w:color w:val="008000"/>
          <w:szCs w:val="24"/>
        </w:rPr>
        <w:t xml:space="preserve"> at NPAC to move the DD up. The </w:t>
      </w:r>
      <w:r w:rsidR="00D46836" w:rsidRPr="008E568E">
        <w:rPr>
          <w:color w:val="008000"/>
          <w:szCs w:val="24"/>
        </w:rPr>
        <w:t>N</w:t>
      </w:r>
      <w:r w:rsidR="00B51EE4" w:rsidRPr="008E568E">
        <w:rPr>
          <w:color w:val="008000"/>
          <w:szCs w:val="24"/>
        </w:rPr>
        <w:t xml:space="preserve">ew </w:t>
      </w:r>
      <w:r w:rsidR="00D46836" w:rsidRPr="008E568E">
        <w:rPr>
          <w:color w:val="008000"/>
          <w:szCs w:val="24"/>
        </w:rPr>
        <w:t>P</w:t>
      </w:r>
      <w:r w:rsidR="00B51EE4" w:rsidRPr="008E568E">
        <w:rPr>
          <w:color w:val="008000"/>
          <w:szCs w:val="24"/>
        </w:rPr>
        <w:t xml:space="preserve">rovider is then able to activate the port earlier than the DD that </w:t>
      </w:r>
      <w:proofErr w:type="gramStart"/>
      <w:r w:rsidR="00B51EE4" w:rsidRPr="008E568E">
        <w:rPr>
          <w:color w:val="008000"/>
          <w:szCs w:val="24"/>
        </w:rPr>
        <w:t>was agreed</w:t>
      </w:r>
      <w:proofErr w:type="gramEnd"/>
      <w:r w:rsidR="00B51EE4" w:rsidRPr="008E568E">
        <w:rPr>
          <w:color w:val="008000"/>
          <w:szCs w:val="24"/>
        </w:rPr>
        <w:t xml:space="preserve"> to on the FOC by the Old Provider. </w:t>
      </w:r>
      <w:r w:rsidR="008440EB">
        <w:rPr>
          <w:color w:val="008000"/>
          <w:szCs w:val="24"/>
        </w:rPr>
        <w:t>The New Provider did not send a SUPP to request a re-negotiation of the DD.</w:t>
      </w:r>
    </w:p>
    <w:p w:rsidR="00D46836" w:rsidRPr="008E568E" w:rsidRDefault="00D46836">
      <w:pPr>
        <w:pStyle w:val="BodyText2"/>
        <w:rPr>
          <w:color w:val="008000"/>
          <w:szCs w:val="24"/>
        </w:rPr>
      </w:pPr>
    </w:p>
    <w:p w:rsidR="00D46836" w:rsidRPr="008E568E" w:rsidRDefault="00B51EE4">
      <w:pPr>
        <w:pStyle w:val="BodyText2"/>
        <w:rPr>
          <w:color w:val="008000"/>
          <w:szCs w:val="24"/>
        </w:rPr>
      </w:pPr>
      <w:r w:rsidRPr="008E568E">
        <w:rPr>
          <w:color w:val="008000"/>
          <w:szCs w:val="24"/>
        </w:rPr>
        <w:t xml:space="preserve">The New Provider is not following </w:t>
      </w:r>
      <w:r w:rsidR="008440EB">
        <w:rPr>
          <w:color w:val="008000"/>
          <w:szCs w:val="24"/>
        </w:rPr>
        <w:t xml:space="preserve">Best Practice 63, which was put into place to insure Providers had a </w:t>
      </w:r>
      <w:r w:rsidR="00C72FA1">
        <w:rPr>
          <w:color w:val="008000"/>
          <w:szCs w:val="24"/>
        </w:rPr>
        <w:t xml:space="preserve">clear </w:t>
      </w:r>
      <w:r w:rsidR="008440EB">
        <w:rPr>
          <w:color w:val="008000"/>
          <w:szCs w:val="24"/>
        </w:rPr>
        <w:t xml:space="preserve">communication path for </w:t>
      </w:r>
      <w:r w:rsidR="00C72FA1">
        <w:rPr>
          <w:color w:val="008000"/>
          <w:szCs w:val="24"/>
        </w:rPr>
        <w:t>o</w:t>
      </w:r>
      <w:r w:rsidR="008440EB">
        <w:rPr>
          <w:color w:val="008000"/>
          <w:szCs w:val="24"/>
        </w:rPr>
        <w:t>rder processing issues after FOC was given, no</w:t>
      </w:r>
      <w:r w:rsidR="00C72FA1">
        <w:rPr>
          <w:color w:val="008000"/>
          <w:szCs w:val="24"/>
        </w:rPr>
        <w:t>r are they</w:t>
      </w:r>
      <w:r w:rsidR="008440EB">
        <w:rPr>
          <w:color w:val="008000"/>
          <w:szCs w:val="24"/>
        </w:rPr>
        <w:t xml:space="preserve"> following </w:t>
      </w:r>
      <w:r w:rsidRPr="008E568E">
        <w:rPr>
          <w:color w:val="008000"/>
          <w:szCs w:val="24"/>
        </w:rPr>
        <w:t xml:space="preserve">Best Practice 65 and sending a SUPP to the Old Provider to negotiate </w:t>
      </w:r>
      <w:proofErr w:type="spellStart"/>
      <w:proofErr w:type="gramStart"/>
      <w:r w:rsidRPr="008E568E">
        <w:rPr>
          <w:color w:val="008000"/>
          <w:szCs w:val="24"/>
        </w:rPr>
        <w:t>a</w:t>
      </w:r>
      <w:proofErr w:type="spellEnd"/>
      <w:proofErr w:type="gramEnd"/>
      <w:r w:rsidRPr="008E568E">
        <w:rPr>
          <w:color w:val="008000"/>
          <w:szCs w:val="24"/>
        </w:rPr>
        <w:t xml:space="preserve"> earlier DD. The </w:t>
      </w:r>
      <w:r w:rsidR="00D46836" w:rsidRPr="008E568E">
        <w:rPr>
          <w:color w:val="008000"/>
          <w:szCs w:val="24"/>
        </w:rPr>
        <w:t>N</w:t>
      </w:r>
      <w:r w:rsidRPr="008E568E">
        <w:rPr>
          <w:color w:val="008000"/>
          <w:szCs w:val="24"/>
        </w:rPr>
        <w:t xml:space="preserve">ew </w:t>
      </w:r>
      <w:r w:rsidR="00D46836" w:rsidRPr="008E568E">
        <w:rPr>
          <w:color w:val="008000"/>
          <w:szCs w:val="24"/>
        </w:rPr>
        <w:t>P</w:t>
      </w:r>
      <w:r w:rsidRPr="008E568E">
        <w:rPr>
          <w:color w:val="008000"/>
          <w:szCs w:val="24"/>
        </w:rPr>
        <w:t xml:space="preserve">rovider is </w:t>
      </w:r>
      <w:r w:rsidR="008440EB">
        <w:rPr>
          <w:color w:val="008000"/>
          <w:szCs w:val="24"/>
        </w:rPr>
        <w:t xml:space="preserve">also </w:t>
      </w:r>
      <w:r w:rsidRPr="008E568E">
        <w:rPr>
          <w:color w:val="008000"/>
          <w:szCs w:val="24"/>
        </w:rPr>
        <w:t>not following the FCC Mandated LNP process Flows Figure 7, Step 1</w:t>
      </w:r>
      <w:r w:rsidR="00D46836" w:rsidRPr="008E568E">
        <w:rPr>
          <w:color w:val="008000"/>
          <w:szCs w:val="24"/>
        </w:rPr>
        <w:t xml:space="preserve"> </w:t>
      </w:r>
      <w:proofErr w:type="gramStart"/>
      <w:r w:rsidR="00D46836" w:rsidRPr="008E568E">
        <w:rPr>
          <w:color w:val="008000"/>
          <w:szCs w:val="24"/>
        </w:rPr>
        <w:t>which</w:t>
      </w:r>
      <w:proofErr w:type="gramEnd"/>
      <w:r w:rsidR="00D46836" w:rsidRPr="008E568E">
        <w:rPr>
          <w:color w:val="008000"/>
          <w:szCs w:val="24"/>
        </w:rPr>
        <w:t xml:space="preserve"> explains the intent of th</w:t>
      </w:r>
      <w:r w:rsidR="008440EB">
        <w:rPr>
          <w:color w:val="008000"/>
          <w:szCs w:val="24"/>
        </w:rPr>
        <w:t>is</w:t>
      </w:r>
      <w:r w:rsidR="00D46836" w:rsidRPr="008E568E">
        <w:rPr>
          <w:color w:val="008000"/>
          <w:szCs w:val="24"/>
        </w:rPr>
        <w:t xml:space="preserve"> FCC mandated process</w:t>
      </w:r>
      <w:r w:rsidR="001664E9">
        <w:rPr>
          <w:color w:val="008000"/>
          <w:szCs w:val="24"/>
        </w:rPr>
        <w:t xml:space="preserve"> and keys to the Old Providers FOC Due date, especially when the Old Provider is a Wireline Provider</w:t>
      </w:r>
      <w:r w:rsidRPr="008E568E">
        <w:rPr>
          <w:color w:val="008000"/>
          <w:szCs w:val="24"/>
        </w:rPr>
        <w:t xml:space="preserve">. </w:t>
      </w:r>
    </w:p>
    <w:p w:rsidR="00D46836" w:rsidRPr="008E568E" w:rsidRDefault="00D46836">
      <w:pPr>
        <w:pStyle w:val="BodyText2"/>
        <w:rPr>
          <w:color w:val="008000"/>
          <w:szCs w:val="24"/>
        </w:rPr>
      </w:pPr>
    </w:p>
    <w:p w:rsidR="00352F95" w:rsidRPr="008E568E" w:rsidRDefault="002D2D9B" w:rsidP="00A62CB7">
      <w:pPr>
        <w:pStyle w:val="BodyText2"/>
        <w:rPr>
          <w:color w:val="008000"/>
          <w:szCs w:val="24"/>
        </w:rPr>
      </w:pPr>
      <w:r w:rsidRPr="008E568E">
        <w:rPr>
          <w:color w:val="008000"/>
          <w:szCs w:val="24"/>
        </w:rPr>
        <w:t xml:space="preserve">In </w:t>
      </w:r>
      <w:proofErr w:type="gramStart"/>
      <w:r w:rsidRPr="008E568E">
        <w:rPr>
          <w:color w:val="008000"/>
          <w:szCs w:val="24"/>
        </w:rPr>
        <w:t>addition</w:t>
      </w:r>
      <w:proofErr w:type="gramEnd"/>
      <w:r w:rsidRPr="008E568E">
        <w:rPr>
          <w:color w:val="008000"/>
          <w:szCs w:val="24"/>
        </w:rPr>
        <w:t xml:space="preserve"> when those </w:t>
      </w:r>
      <w:r w:rsidR="008440EB">
        <w:rPr>
          <w:color w:val="008000"/>
          <w:szCs w:val="24"/>
        </w:rPr>
        <w:t>N</w:t>
      </w:r>
      <w:r w:rsidRPr="008E568E">
        <w:rPr>
          <w:color w:val="008000"/>
          <w:szCs w:val="24"/>
        </w:rPr>
        <w:t xml:space="preserve">ew </w:t>
      </w:r>
      <w:r w:rsidR="008440EB">
        <w:rPr>
          <w:color w:val="008000"/>
          <w:szCs w:val="24"/>
        </w:rPr>
        <w:t>P</w:t>
      </w:r>
      <w:r w:rsidRPr="008E568E">
        <w:rPr>
          <w:color w:val="008000"/>
          <w:szCs w:val="24"/>
        </w:rPr>
        <w:t xml:space="preserve">roviders performing the unilateral modification make the DD change, many are also changing the </w:t>
      </w:r>
      <w:r w:rsidR="001664E9">
        <w:rPr>
          <w:color w:val="008000"/>
          <w:szCs w:val="24"/>
        </w:rPr>
        <w:t xml:space="preserve">port </w:t>
      </w:r>
      <w:r w:rsidRPr="008E568E">
        <w:rPr>
          <w:color w:val="008000"/>
          <w:szCs w:val="24"/>
        </w:rPr>
        <w:t xml:space="preserve">timers to be “medium” simple port timers, which then restricts the time in which the Old Provider has to place the new DD into </w:t>
      </w:r>
      <w:r w:rsidRPr="008E568E">
        <w:rPr>
          <w:color w:val="008000"/>
          <w:szCs w:val="24"/>
        </w:rPr>
        <w:lastRenderedPageBreak/>
        <w:t>conflict as a way of preventing the</w:t>
      </w:r>
      <w:r w:rsidR="001664E9">
        <w:rPr>
          <w:color w:val="008000"/>
          <w:szCs w:val="24"/>
        </w:rPr>
        <w:t xml:space="preserve"> service </w:t>
      </w:r>
      <w:r w:rsidR="00B51EE4" w:rsidRPr="008E568E">
        <w:rPr>
          <w:color w:val="008000"/>
          <w:szCs w:val="24"/>
        </w:rPr>
        <w:t>impacts</w:t>
      </w:r>
      <w:r w:rsidRPr="008E568E">
        <w:rPr>
          <w:color w:val="008000"/>
          <w:szCs w:val="24"/>
        </w:rPr>
        <w:t xml:space="preserve"> on the end user. The </w:t>
      </w:r>
      <w:proofErr w:type="spellStart"/>
      <w:r w:rsidRPr="008E568E">
        <w:rPr>
          <w:color w:val="008000"/>
          <w:szCs w:val="24"/>
        </w:rPr>
        <w:t>affects</w:t>
      </w:r>
      <w:proofErr w:type="spellEnd"/>
      <w:r w:rsidRPr="008E568E">
        <w:rPr>
          <w:color w:val="008000"/>
          <w:szCs w:val="24"/>
        </w:rPr>
        <w:t xml:space="preserve"> of this unilateral practice </w:t>
      </w:r>
      <w:r w:rsidR="00B51EE4" w:rsidRPr="008E568E">
        <w:rPr>
          <w:color w:val="008000"/>
          <w:szCs w:val="24"/>
        </w:rPr>
        <w:t xml:space="preserve">are multi-fold: The end users service will only be partially working on the accelerated due date because the old provider may not have been able to complete all the necessary switch work </w:t>
      </w:r>
      <w:r w:rsidR="001664E9">
        <w:rPr>
          <w:color w:val="008000"/>
          <w:szCs w:val="24"/>
        </w:rPr>
        <w:t xml:space="preserve">(like the 10-digit trigger) </w:t>
      </w:r>
      <w:r w:rsidR="00B51EE4" w:rsidRPr="008E568E">
        <w:rPr>
          <w:color w:val="008000"/>
          <w:szCs w:val="24"/>
        </w:rPr>
        <w:t xml:space="preserve">to allow </w:t>
      </w:r>
      <w:r w:rsidR="0016261E" w:rsidRPr="008E568E">
        <w:rPr>
          <w:color w:val="008000"/>
          <w:szCs w:val="24"/>
        </w:rPr>
        <w:t xml:space="preserve">the Old </w:t>
      </w:r>
      <w:r w:rsidR="001664E9">
        <w:rPr>
          <w:color w:val="008000"/>
          <w:szCs w:val="24"/>
        </w:rPr>
        <w:t>P</w:t>
      </w:r>
      <w:r w:rsidR="0016261E" w:rsidRPr="008E568E">
        <w:rPr>
          <w:color w:val="008000"/>
          <w:szCs w:val="24"/>
        </w:rPr>
        <w:t>rovider</w:t>
      </w:r>
      <w:r w:rsidR="001664E9">
        <w:rPr>
          <w:color w:val="008000"/>
          <w:szCs w:val="24"/>
        </w:rPr>
        <w:t>’</w:t>
      </w:r>
      <w:r w:rsidR="0016261E" w:rsidRPr="008E568E">
        <w:rPr>
          <w:color w:val="008000"/>
          <w:szCs w:val="24"/>
        </w:rPr>
        <w:t xml:space="preserve">s </w:t>
      </w:r>
      <w:r w:rsidR="00B51EE4" w:rsidRPr="008E568E">
        <w:rPr>
          <w:color w:val="008000"/>
          <w:szCs w:val="24"/>
        </w:rPr>
        <w:t>intra-switch calls to</w:t>
      </w:r>
      <w:r w:rsidR="0016261E" w:rsidRPr="008E568E">
        <w:rPr>
          <w:color w:val="008000"/>
          <w:szCs w:val="24"/>
        </w:rPr>
        <w:t xml:space="preserve"> be able to get to the </w:t>
      </w:r>
      <w:r w:rsidR="00B51EE4" w:rsidRPr="008E568E">
        <w:rPr>
          <w:color w:val="008000"/>
          <w:szCs w:val="24"/>
        </w:rPr>
        <w:t>ported number</w:t>
      </w:r>
      <w:r w:rsidR="0016261E" w:rsidRPr="008E568E">
        <w:rPr>
          <w:color w:val="008000"/>
          <w:szCs w:val="24"/>
        </w:rPr>
        <w:t xml:space="preserve">. The Old Provider may continue to bill the end user </w:t>
      </w:r>
      <w:r w:rsidR="00D635A1">
        <w:rPr>
          <w:color w:val="008000"/>
          <w:szCs w:val="24"/>
        </w:rPr>
        <w:t xml:space="preserve">based on the FOC date </w:t>
      </w:r>
      <w:r w:rsidR="0016261E" w:rsidRPr="008E568E">
        <w:rPr>
          <w:color w:val="008000"/>
          <w:szCs w:val="24"/>
        </w:rPr>
        <w:t xml:space="preserve">because the agreed upon due date and </w:t>
      </w:r>
      <w:proofErr w:type="gramStart"/>
      <w:r w:rsidR="0016261E" w:rsidRPr="008E568E">
        <w:rPr>
          <w:color w:val="008000"/>
          <w:szCs w:val="24"/>
        </w:rPr>
        <w:t>the disconnect</w:t>
      </w:r>
      <w:proofErr w:type="gramEnd"/>
      <w:r w:rsidR="0016261E" w:rsidRPr="008E568E">
        <w:rPr>
          <w:color w:val="008000"/>
          <w:szCs w:val="24"/>
        </w:rPr>
        <w:t xml:space="preserve"> of the end user account were not able to coincide because the New </w:t>
      </w:r>
      <w:r w:rsidR="00F70DDA">
        <w:rPr>
          <w:color w:val="008000"/>
          <w:szCs w:val="24"/>
        </w:rPr>
        <w:t>P</w:t>
      </w:r>
      <w:r w:rsidR="0016261E" w:rsidRPr="008E568E">
        <w:rPr>
          <w:color w:val="008000"/>
          <w:szCs w:val="24"/>
        </w:rPr>
        <w:t>rovider took the TN</w:t>
      </w:r>
      <w:r w:rsidR="00ED6C47">
        <w:rPr>
          <w:color w:val="008000"/>
          <w:szCs w:val="24"/>
        </w:rPr>
        <w:t xml:space="preserve"> prematurely</w:t>
      </w:r>
      <w:r w:rsidR="0016261E" w:rsidRPr="008E568E">
        <w:rPr>
          <w:color w:val="008000"/>
          <w:szCs w:val="24"/>
        </w:rPr>
        <w:t xml:space="preserve">. </w:t>
      </w:r>
      <w:r w:rsidR="008F30BF">
        <w:rPr>
          <w:color w:val="008000"/>
          <w:szCs w:val="24"/>
        </w:rPr>
        <w:t xml:space="preserve">This may </w:t>
      </w:r>
      <w:r w:rsidR="00D635A1">
        <w:rPr>
          <w:color w:val="008000"/>
          <w:szCs w:val="24"/>
        </w:rPr>
        <w:t xml:space="preserve">cause </w:t>
      </w:r>
      <w:proofErr w:type="gramStart"/>
      <w:r w:rsidR="00D635A1">
        <w:rPr>
          <w:color w:val="008000"/>
          <w:szCs w:val="24"/>
        </w:rPr>
        <w:t>double-billing</w:t>
      </w:r>
      <w:proofErr w:type="gramEnd"/>
      <w:r w:rsidR="00D635A1">
        <w:rPr>
          <w:color w:val="008000"/>
          <w:szCs w:val="24"/>
        </w:rPr>
        <w:t xml:space="preserve"> to the end user, forcing action by the end user to contact the Old and/or New Service Providers requesting a credit on their account. </w:t>
      </w:r>
      <w:r w:rsidR="0016261E" w:rsidRPr="008E568E">
        <w:rPr>
          <w:color w:val="008000"/>
          <w:szCs w:val="24"/>
        </w:rPr>
        <w:t xml:space="preserve">Troubleshooting of the end users services will involve loss of time for all involved </w:t>
      </w:r>
      <w:r w:rsidR="00F70DDA">
        <w:rPr>
          <w:color w:val="008000"/>
          <w:szCs w:val="24"/>
        </w:rPr>
        <w:t>P</w:t>
      </w:r>
      <w:r w:rsidR="0016261E" w:rsidRPr="008E568E">
        <w:rPr>
          <w:color w:val="008000"/>
          <w:szCs w:val="24"/>
        </w:rPr>
        <w:t xml:space="preserve">roviders as the LNP process the FCC mandated was not able to run its </w:t>
      </w:r>
      <w:r w:rsidR="00ED6C47">
        <w:rPr>
          <w:color w:val="008000"/>
          <w:szCs w:val="24"/>
        </w:rPr>
        <w:t xml:space="preserve">normal </w:t>
      </w:r>
      <w:r w:rsidR="0016261E" w:rsidRPr="008E568E">
        <w:rPr>
          <w:color w:val="008000"/>
          <w:szCs w:val="24"/>
        </w:rPr>
        <w:t>course</w:t>
      </w:r>
      <w:r w:rsidR="00ED6C47">
        <w:rPr>
          <w:color w:val="008000"/>
          <w:szCs w:val="24"/>
        </w:rPr>
        <w:t>.</w:t>
      </w:r>
      <w:r w:rsidR="00D635A1">
        <w:rPr>
          <w:color w:val="008000"/>
          <w:szCs w:val="24"/>
        </w:rPr>
        <w:t xml:space="preserve"> </w:t>
      </w:r>
      <w:proofErr w:type="gramStart"/>
      <w:r w:rsidR="00D635A1">
        <w:rPr>
          <w:color w:val="008000"/>
          <w:szCs w:val="24"/>
        </w:rPr>
        <w:t>Also</w:t>
      </w:r>
      <w:proofErr w:type="gramEnd"/>
      <w:r w:rsidR="00D635A1">
        <w:rPr>
          <w:color w:val="008000"/>
          <w:szCs w:val="24"/>
        </w:rPr>
        <w:t xml:space="preserve">, should the end user decide to stay with their Old Service Provider, yet the New Service Provider ported early/prior to the FOC DD absent a SUPP, will cause </w:t>
      </w:r>
      <w:r w:rsidR="00E3727A">
        <w:rPr>
          <w:color w:val="008000"/>
          <w:szCs w:val="24"/>
        </w:rPr>
        <w:t xml:space="preserve">a </w:t>
      </w:r>
      <w:r w:rsidR="00D635A1">
        <w:rPr>
          <w:color w:val="008000"/>
          <w:szCs w:val="24"/>
        </w:rPr>
        <w:t xml:space="preserve">customer </w:t>
      </w:r>
      <w:r w:rsidR="00E3727A">
        <w:rPr>
          <w:color w:val="008000"/>
          <w:szCs w:val="24"/>
        </w:rPr>
        <w:t xml:space="preserve">service </w:t>
      </w:r>
      <w:r w:rsidR="00D635A1">
        <w:rPr>
          <w:color w:val="008000"/>
          <w:szCs w:val="24"/>
        </w:rPr>
        <w:t>i</w:t>
      </w:r>
      <w:r w:rsidR="00E3727A">
        <w:rPr>
          <w:color w:val="008000"/>
          <w:szCs w:val="24"/>
        </w:rPr>
        <w:t xml:space="preserve">mpacting event, spiraling into an unwarranted and </w:t>
      </w:r>
      <w:r w:rsidR="00EE05EB">
        <w:rPr>
          <w:color w:val="008000"/>
          <w:szCs w:val="24"/>
        </w:rPr>
        <w:t>unnecessary</w:t>
      </w:r>
      <w:r w:rsidR="00E3727A">
        <w:rPr>
          <w:color w:val="008000"/>
          <w:szCs w:val="24"/>
        </w:rPr>
        <w:t xml:space="preserve"> </w:t>
      </w:r>
      <w:r w:rsidR="00D635A1">
        <w:rPr>
          <w:color w:val="008000"/>
          <w:szCs w:val="24"/>
        </w:rPr>
        <w:t>“Disputed Port”</w:t>
      </w:r>
      <w:r w:rsidR="00E3727A">
        <w:rPr>
          <w:color w:val="008000"/>
          <w:szCs w:val="24"/>
        </w:rPr>
        <w:t xml:space="preserve"> conflict.</w:t>
      </w:r>
    </w:p>
    <w:p w:rsidR="00352F95" w:rsidRDefault="00352F95">
      <w:pPr>
        <w:rPr>
          <w:sz w:val="24"/>
        </w:rPr>
      </w:pPr>
    </w:p>
    <w:p w:rsidR="00B51EE4" w:rsidRDefault="00352F95">
      <w:pPr>
        <w:pStyle w:val="BodyText2"/>
        <w:rPr>
          <w:sz w:val="20"/>
        </w:rPr>
      </w:pPr>
      <w:r>
        <w:rPr>
          <w:sz w:val="20"/>
        </w:rPr>
        <w:t xml:space="preserve">B.   Frequency of Occurrence: </w:t>
      </w:r>
    </w:p>
    <w:p w:rsidR="00352F95" w:rsidRPr="008E568E" w:rsidRDefault="00A240CC">
      <w:pPr>
        <w:pStyle w:val="BodyText2"/>
        <w:rPr>
          <w:color w:val="008000"/>
          <w:szCs w:val="24"/>
        </w:rPr>
      </w:pPr>
      <w:r>
        <w:rPr>
          <w:color w:val="008000"/>
          <w:szCs w:val="24"/>
        </w:rPr>
        <w:t xml:space="preserve">Estimated at least 60% or </w:t>
      </w:r>
      <w:proofErr w:type="gramStart"/>
      <w:r>
        <w:rPr>
          <w:color w:val="008000"/>
          <w:szCs w:val="24"/>
        </w:rPr>
        <w:t>this</w:t>
      </w:r>
      <w:proofErr w:type="gramEnd"/>
      <w:r>
        <w:rPr>
          <w:color w:val="008000"/>
          <w:szCs w:val="24"/>
        </w:rPr>
        <w:t xml:space="preserve"> New Providers ports are taken prematurely and with</w:t>
      </w:r>
      <w:r w:rsidR="00F11C13">
        <w:rPr>
          <w:color w:val="008000"/>
          <w:szCs w:val="24"/>
        </w:rPr>
        <w:t>out</w:t>
      </w:r>
      <w:r>
        <w:rPr>
          <w:color w:val="008000"/>
          <w:szCs w:val="24"/>
        </w:rPr>
        <w:t xml:space="preserve"> an agreed upon LSR</w:t>
      </w:r>
      <w:r w:rsidR="00E3727A">
        <w:rPr>
          <w:color w:val="008000"/>
          <w:szCs w:val="24"/>
        </w:rPr>
        <w:t>DD</w:t>
      </w:r>
      <w:r>
        <w:rPr>
          <w:color w:val="008000"/>
          <w:szCs w:val="24"/>
        </w:rPr>
        <w:t>. This activity is i</w:t>
      </w:r>
      <w:r w:rsidR="00B51EE4" w:rsidRPr="008E568E">
        <w:rPr>
          <w:color w:val="008000"/>
          <w:szCs w:val="24"/>
        </w:rPr>
        <w:t>ncreasing i</w:t>
      </w:r>
      <w:r w:rsidR="00835CBF">
        <w:rPr>
          <w:color w:val="008000"/>
          <w:szCs w:val="24"/>
        </w:rPr>
        <w:t>n</w:t>
      </w:r>
      <w:r w:rsidR="00B51EE4" w:rsidRPr="008E568E">
        <w:rPr>
          <w:color w:val="008000"/>
          <w:szCs w:val="24"/>
        </w:rPr>
        <w:t xml:space="preserve"> frequency</w:t>
      </w:r>
      <w:r w:rsidR="00F11C13">
        <w:rPr>
          <w:color w:val="008000"/>
          <w:szCs w:val="24"/>
        </w:rPr>
        <w:t>.</w:t>
      </w:r>
    </w:p>
    <w:p w:rsidR="00352F95" w:rsidRDefault="00352F95">
      <w:pPr>
        <w:rPr>
          <w:sz w:val="24"/>
        </w:rPr>
      </w:pPr>
    </w:p>
    <w:p w:rsidR="00352F95" w:rsidRDefault="00352F9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352F95" w:rsidRDefault="00352F95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352F95" w:rsidRDefault="00352F95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51EE4">
        <w:rPr>
          <w:sz w:val="20"/>
        </w:rPr>
        <w:t xml:space="preserve"> </w:t>
      </w:r>
      <w:r w:rsidR="00B51EE4" w:rsidRPr="00B51EE4">
        <w:rPr>
          <w:b/>
          <w:color w:val="008000"/>
          <w:sz w:val="20"/>
        </w:rPr>
        <w:t>X</w:t>
      </w:r>
      <w:r>
        <w:rPr>
          <w:sz w:val="20"/>
        </w:rPr>
        <w:t>_</w:t>
      </w:r>
    </w:p>
    <w:p w:rsidR="00352F95" w:rsidRDefault="00352F95">
      <w:pPr>
        <w:rPr>
          <w:sz w:val="24"/>
        </w:rPr>
      </w:pPr>
    </w:p>
    <w:p w:rsidR="00B51EE4" w:rsidRDefault="00352F95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BA44A6" w:rsidRPr="008E568E" w:rsidRDefault="00BA44A6">
      <w:pPr>
        <w:pStyle w:val="BodyText2"/>
        <w:rPr>
          <w:color w:val="008000"/>
          <w:szCs w:val="24"/>
        </w:rPr>
      </w:pPr>
      <w:r w:rsidRPr="008E568E">
        <w:rPr>
          <w:color w:val="008000"/>
          <w:szCs w:val="24"/>
        </w:rPr>
        <w:t xml:space="preserve">The current FCC Mandated </w:t>
      </w:r>
      <w:r w:rsidR="0064562A" w:rsidRPr="008E568E">
        <w:rPr>
          <w:color w:val="008000"/>
          <w:szCs w:val="24"/>
        </w:rPr>
        <w:t xml:space="preserve">NANC </w:t>
      </w:r>
      <w:r w:rsidRPr="008E568E">
        <w:rPr>
          <w:color w:val="008000"/>
          <w:szCs w:val="24"/>
        </w:rPr>
        <w:t xml:space="preserve">LNP Process Flows are clear and the processes </w:t>
      </w:r>
      <w:proofErr w:type="gramStart"/>
      <w:r w:rsidRPr="008E568E">
        <w:rPr>
          <w:color w:val="008000"/>
          <w:szCs w:val="24"/>
        </w:rPr>
        <w:t>are well known</w:t>
      </w:r>
      <w:proofErr w:type="gramEnd"/>
      <w:r w:rsidRPr="008E568E">
        <w:rPr>
          <w:color w:val="008000"/>
          <w:szCs w:val="24"/>
        </w:rPr>
        <w:t xml:space="preserve"> to all. </w:t>
      </w:r>
      <w:r w:rsidR="002827B7" w:rsidRPr="008E568E">
        <w:rPr>
          <w:color w:val="008000"/>
          <w:szCs w:val="24"/>
        </w:rPr>
        <w:t xml:space="preserve">Many discussions held in the LNPA WG over the many years clearly indicate the LSR/WPR-FOC process is how the port due dates are negotiated. </w:t>
      </w:r>
      <w:proofErr w:type="gramStart"/>
      <w:r w:rsidRPr="008E568E">
        <w:rPr>
          <w:color w:val="008000"/>
          <w:szCs w:val="24"/>
        </w:rPr>
        <w:t>However</w:t>
      </w:r>
      <w:proofErr w:type="gramEnd"/>
      <w:r w:rsidRPr="008E568E">
        <w:rPr>
          <w:color w:val="008000"/>
          <w:szCs w:val="24"/>
        </w:rPr>
        <w:t xml:space="preserve"> some providers are saying the </w:t>
      </w:r>
      <w:r w:rsidR="00A240CC">
        <w:rPr>
          <w:color w:val="008000"/>
          <w:szCs w:val="24"/>
        </w:rPr>
        <w:t>F</w:t>
      </w:r>
      <w:r w:rsidRPr="008E568E">
        <w:rPr>
          <w:color w:val="008000"/>
          <w:szCs w:val="24"/>
        </w:rPr>
        <w:t>lows don’t expressly</w:t>
      </w:r>
      <w:r w:rsidR="00A240CC">
        <w:rPr>
          <w:color w:val="008000"/>
          <w:szCs w:val="24"/>
        </w:rPr>
        <w:t xml:space="preserve"> </w:t>
      </w:r>
      <w:r w:rsidRPr="008E568E">
        <w:rPr>
          <w:color w:val="008000"/>
          <w:szCs w:val="24"/>
        </w:rPr>
        <w:t xml:space="preserve">stop this activity </w:t>
      </w:r>
      <w:r w:rsidR="002827B7" w:rsidRPr="008E568E">
        <w:rPr>
          <w:color w:val="008000"/>
          <w:szCs w:val="24"/>
        </w:rPr>
        <w:t xml:space="preserve">after the T1/T2 timers have run, </w:t>
      </w:r>
      <w:r w:rsidRPr="008E568E">
        <w:rPr>
          <w:color w:val="008000"/>
          <w:szCs w:val="24"/>
        </w:rPr>
        <w:t xml:space="preserve">and therefore they are coming up with ways of getting around the </w:t>
      </w:r>
      <w:proofErr w:type="spellStart"/>
      <w:r w:rsidRPr="008E568E">
        <w:rPr>
          <w:color w:val="008000"/>
          <w:szCs w:val="24"/>
        </w:rPr>
        <w:t>well known</w:t>
      </w:r>
      <w:proofErr w:type="spellEnd"/>
      <w:r w:rsidRPr="008E568E">
        <w:rPr>
          <w:color w:val="008000"/>
          <w:szCs w:val="24"/>
        </w:rPr>
        <w:t xml:space="preserve"> process of negotiating the port Due Date between both involved providers using the LSR/WPR and FOC process. </w:t>
      </w:r>
      <w:r w:rsidR="00A609B9" w:rsidRPr="008E568E">
        <w:rPr>
          <w:color w:val="008000"/>
          <w:szCs w:val="24"/>
        </w:rPr>
        <w:t xml:space="preserve">If </w:t>
      </w:r>
      <w:proofErr w:type="gramStart"/>
      <w:r w:rsidR="00A609B9" w:rsidRPr="008E568E">
        <w:rPr>
          <w:color w:val="008000"/>
          <w:szCs w:val="24"/>
        </w:rPr>
        <w:t xml:space="preserve">the LSR/WPR-FOC process </w:t>
      </w:r>
      <w:r w:rsidR="00896140">
        <w:rPr>
          <w:color w:val="008000"/>
          <w:szCs w:val="24"/>
        </w:rPr>
        <w:t>is</w:t>
      </w:r>
      <w:r w:rsidR="00A609B9" w:rsidRPr="008E568E">
        <w:rPr>
          <w:color w:val="008000"/>
          <w:szCs w:val="24"/>
        </w:rPr>
        <w:t xml:space="preserve"> not </w:t>
      </w:r>
      <w:r w:rsidR="00896140">
        <w:rPr>
          <w:color w:val="008000"/>
          <w:szCs w:val="24"/>
        </w:rPr>
        <w:t>adhered to by all parties</w:t>
      </w:r>
      <w:proofErr w:type="gramEnd"/>
      <w:r w:rsidR="00896140">
        <w:rPr>
          <w:color w:val="008000"/>
          <w:szCs w:val="24"/>
        </w:rPr>
        <w:t xml:space="preserve"> when negotiating </w:t>
      </w:r>
      <w:r w:rsidR="00A609B9" w:rsidRPr="008E568E">
        <w:rPr>
          <w:color w:val="008000"/>
          <w:szCs w:val="24"/>
        </w:rPr>
        <w:t xml:space="preserve">due dates, then </w:t>
      </w:r>
      <w:r w:rsidR="00896140">
        <w:rPr>
          <w:color w:val="008000"/>
          <w:szCs w:val="24"/>
        </w:rPr>
        <w:t>P</w:t>
      </w:r>
      <w:r w:rsidR="00A609B9" w:rsidRPr="008E568E">
        <w:rPr>
          <w:color w:val="008000"/>
          <w:szCs w:val="24"/>
        </w:rPr>
        <w:t>roviders could make up any due date they want and take numbers anytime they want, regardless of the impact on the end user.</w:t>
      </w:r>
    </w:p>
    <w:p w:rsidR="00352F95" w:rsidRDefault="00352F95">
      <w:pPr>
        <w:rPr>
          <w:sz w:val="24"/>
        </w:rPr>
      </w:pPr>
    </w:p>
    <w:p w:rsidR="00252547" w:rsidRDefault="00352F95">
      <w:pPr>
        <w:pStyle w:val="BodyText2"/>
        <w:rPr>
          <w:sz w:val="20"/>
        </w:rPr>
      </w:pPr>
      <w:r>
        <w:rPr>
          <w:sz w:val="20"/>
        </w:rPr>
        <w:t xml:space="preserve">E.   Identify action taken in </w:t>
      </w:r>
      <w:r w:rsidR="00252547">
        <w:rPr>
          <w:sz w:val="20"/>
        </w:rPr>
        <w:t xml:space="preserve">other committees / forums: </w:t>
      </w:r>
    </w:p>
    <w:p w:rsidR="00352F95" w:rsidRPr="00252547" w:rsidRDefault="00252547">
      <w:pPr>
        <w:pStyle w:val="BodyText2"/>
        <w:rPr>
          <w:color w:val="008000"/>
          <w:szCs w:val="24"/>
        </w:rPr>
      </w:pPr>
      <w:r w:rsidRPr="00252547">
        <w:rPr>
          <w:rFonts w:ascii="Century" w:hAnsi="Century"/>
          <w:color w:val="008000"/>
          <w:szCs w:val="24"/>
        </w:rPr>
        <w:t xml:space="preserve">ATIS </w:t>
      </w:r>
      <w:r w:rsidRPr="00252547">
        <w:rPr>
          <w:color w:val="008000"/>
          <w:szCs w:val="24"/>
        </w:rPr>
        <w:t>OBF</w:t>
      </w:r>
      <w:r>
        <w:rPr>
          <w:color w:val="008000"/>
          <w:szCs w:val="24"/>
        </w:rPr>
        <w:t>/LOTF</w:t>
      </w:r>
      <w:r w:rsidRPr="00252547">
        <w:rPr>
          <w:color w:val="008000"/>
          <w:szCs w:val="24"/>
        </w:rPr>
        <w:t xml:space="preserve"> and W</w:t>
      </w:r>
      <w:r>
        <w:rPr>
          <w:color w:val="008000"/>
          <w:szCs w:val="24"/>
        </w:rPr>
        <w:t>LOTF</w:t>
      </w:r>
      <w:r w:rsidRPr="00252547">
        <w:rPr>
          <w:color w:val="008000"/>
          <w:szCs w:val="24"/>
        </w:rPr>
        <w:t xml:space="preserve"> have </w:t>
      </w:r>
      <w:r w:rsidR="0026751E">
        <w:rPr>
          <w:color w:val="008000"/>
          <w:szCs w:val="24"/>
        </w:rPr>
        <w:t xml:space="preserve">LSR/WPR </w:t>
      </w:r>
      <w:r w:rsidRPr="00252547">
        <w:rPr>
          <w:color w:val="008000"/>
          <w:szCs w:val="24"/>
        </w:rPr>
        <w:t xml:space="preserve">order processes in place which allow for </w:t>
      </w:r>
      <w:r w:rsidR="0026751E">
        <w:rPr>
          <w:color w:val="008000"/>
          <w:szCs w:val="24"/>
        </w:rPr>
        <w:t>the proper vehicle for the New Provider to request a new negotiated due date. To ignore this process would not be in keeping with the ATIS OBF/WOBF processes.</w:t>
      </w:r>
      <w:r w:rsidRPr="00252547">
        <w:rPr>
          <w:color w:val="008000"/>
          <w:szCs w:val="24"/>
        </w:rPr>
        <w:t xml:space="preserve"> </w:t>
      </w:r>
    </w:p>
    <w:p w:rsidR="00352F95" w:rsidRDefault="00352F95">
      <w:pPr>
        <w:rPr>
          <w:sz w:val="24"/>
        </w:rPr>
      </w:pPr>
    </w:p>
    <w:p w:rsidR="00B816E8" w:rsidRDefault="00352F95">
      <w:pPr>
        <w:pStyle w:val="BodyText2"/>
        <w:rPr>
          <w:sz w:val="20"/>
        </w:rPr>
      </w:pPr>
      <w:r>
        <w:rPr>
          <w:sz w:val="20"/>
        </w:rPr>
        <w:t xml:space="preserve">F. </w:t>
      </w:r>
      <w:r w:rsidR="00B816E8">
        <w:rPr>
          <w:sz w:val="20"/>
        </w:rPr>
        <w:t xml:space="preserve">  Any other descriptive items: </w:t>
      </w:r>
    </w:p>
    <w:p w:rsidR="001B6012" w:rsidRPr="008E568E" w:rsidRDefault="001B6012">
      <w:pPr>
        <w:pStyle w:val="BodyText2"/>
        <w:rPr>
          <w:color w:val="008000"/>
          <w:szCs w:val="24"/>
        </w:rPr>
      </w:pPr>
      <w:r w:rsidRPr="008E568E">
        <w:rPr>
          <w:color w:val="008000"/>
          <w:szCs w:val="24"/>
        </w:rPr>
        <w:t>The following LNPA WG documents have discussion in them that pertain to the Due Date and the effects on customer service</w:t>
      </w:r>
      <w:r w:rsidR="009E614C" w:rsidRPr="008E568E">
        <w:rPr>
          <w:color w:val="008000"/>
          <w:szCs w:val="24"/>
        </w:rPr>
        <w:t>,</w:t>
      </w:r>
      <w:r w:rsidRPr="008E568E">
        <w:rPr>
          <w:color w:val="008000"/>
          <w:szCs w:val="24"/>
        </w:rPr>
        <w:t xml:space="preserve"> and should be reviewed and discussed further as to the effects of </w:t>
      </w:r>
      <w:r w:rsidR="0026751E">
        <w:rPr>
          <w:color w:val="008000"/>
          <w:szCs w:val="24"/>
        </w:rPr>
        <w:t>N</w:t>
      </w:r>
      <w:r w:rsidRPr="008E568E">
        <w:rPr>
          <w:color w:val="008000"/>
          <w:szCs w:val="24"/>
        </w:rPr>
        <w:t xml:space="preserve">ew </w:t>
      </w:r>
      <w:r w:rsidR="0026751E">
        <w:rPr>
          <w:color w:val="008000"/>
          <w:szCs w:val="24"/>
        </w:rPr>
        <w:t>P</w:t>
      </w:r>
      <w:r w:rsidRPr="008E568E">
        <w:rPr>
          <w:color w:val="008000"/>
          <w:szCs w:val="24"/>
        </w:rPr>
        <w:t xml:space="preserve">rovider taking the port prior to the agreed due date. </w:t>
      </w:r>
      <w:r w:rsidR="009E614C" w:rsidRPr="008E568E">
        <w:rPr>
          <w:color w:val="008000"/>
          <w:szCs w:val="24"/>
        </w:rPr>
        <w:t>Some</w:t>
      </w:r>
      <w:r w:rsidRPr="008E568E">
        <w:rPr>
          <w:color w:val="008000"/>
          <w:szCs w:val="24"/>
        </w:rPr>
        <w:t xml:space="preserve"> of these cit</w:t>
      </w:r>
      <w:r w:rsidR="008F30BF">
        <w:rPr>
          <w:color w:val="008000"/>
          <w:szCs w:val="24"/>
        </w:rPr>
        <w:t>ations</w:t>
      </w:r>
      <w:r w:rsidRPr="008E568E">
        <w:rPr>
          <w:color w:val="008000"/>
          <w:szCs w:val="24"/>
        </w:rPr>
        <w:t xml:space="preserve"> also speak to the need for </w:t>
      </w:r>
      <w:r w:rsidR="0026751E">
        <w:rPr>
          <w:color w:val="008000"/>
          <w:szCs w:val="24"/>
        </w:rPr>
        <w:t>LSR/WPR</w:t>
      </w:r>
      <w:r w:rsidRPr="008E568E">
        <w:rPr>
          <w:color w:val="008000"/>
          <w:szCs w:val="24"/>
        </w:rPr>
        <w:t xml:space="preserve"> </w:t>
      </w:r>
      <w:proofErr w:type="gramStart"/>
      <w:r w:rsidRPr="008E568E">
        <w:rPr>
          <w:color w:val="008000"/>
          <w:szCs w:val="24"/>
        </w:rPr>
        <w:t>SUPP</w:t>
      </w:r>
      <w:r w:rsidR="0026751E">
        <w:rPr>
          <w:color w:val="008000"/>
          <w:szCs w:val="24"/>
        </w:rPr>
        <w:t>’s</w:t>
      </w:r>
      <w:proofErr w:type="gramEnd"/>
      <w:r w:rsidRPr="008E568E">
        <w:rPr>
          <w:color w:val="008000"/>
          <w:szCs w:val="24"/>
        </w:rPr>
        <w:t xml:space="preserve"> to be sent if a new negotiated due date is desired:</w:t>
      </w:r>
    </w:p>
    <w:p w:rsidR="001B6012" w:rsidRPr="008E568E" w:rsidRDefault="002D2D9B" w:rsidP="001B6012">
      <w:pPr>
        <w:pStyle w:val="BodyText2"/>
        <w:ind w:firstLine="720"/>
        <w:rPr>
          <w:color w:val="008000"/>
          <w:szCs w:val="24"/>
        </w:rPr>
      </w:pPr>
      <w:r w:rsidRPr="008E568E">
        <w:rPr>
          <w:color w:val="008000"/>
          <w:szCs w:val="24"/>
        </w:rPr>
        <w:lastRenderedPageBreak/>
        <w:t>NANC LNP Process Flows</w:t>
      </w:r>
    </w:p>
    <w:p w:rsidR="008E568E" w:rsidRDefault="001B6012" w:rsidP="001B6012">
      <w:pPr>
        <w:pStyle w:val="BodyText2"/>
        <w:ind w:firstLine="720"/>
        <w:rPr>
          <w:color w:val="008000"/>
          <w:szCs w:val="24"/>
        </w:rPr>
      </w:pPr>
      <w:r w:rsidRPr="008E568E">
        <w:rPr>
          <w:color w:val="008000"/>
          <w:szCs w:val="24"/>
        </w:rPr>
        <w:t>Best Practice 55</w:t>
      </w:r>
      <w:r w:rsidR="00B816E8" w:rsidRPr="008E568E">
        <w:rPr>
          <w:color w:val="008000"/>
          <w:szCs w:val="24"/>
        </w:rPr>
        <w:t xml:space="preserve"> (RE: Desired Due Date on an LSR, NPAC process and service</w:t>
      </w:r>
    </w:p>
    <w:p w:rsidR="001B6012" w:rsidRPr="008E568E" w:rsidRDefault="008E568E" w:rsidP="001B6012">
      <w:pPr>
        <w:pStyle w:val="BodyText2"/>
        <w:ind w:firstLine="720"/>
        <w:rPr>
          <w:color w:val="008000"/>
          <w:szCs w:val="24"/>
        </w:rPr>
      </w:pPr>
      <w:r>
        <w:rPr>
          <w:color w:val="008000"/>
          <w:szCs w:val="24"/>
        </w:rPr>
        <w:t xml:space="preserve">                           </w:t>
      </w:r>
      <w:r w:rsidR="00B816E8" w:rsidRPr="008E568E">
        <w:rPr>
          <w:color w:val="008000"/>
          <w:szCs w:val="24"/>
        </w:rPr>
        <w:t xml:space="preserve"> </w:t>
      </w:r>
      <w:proofErr w:type="gramStart"/>
      <w:r w:rsidR="00B816E8" w:rsidRPr="008E568E">
        <w:rPr>
          <w:color w:val="008000"/>
          <w:szCs w:val="24"/>
        </w:rPr>
        <w:t>impacts</w:t>
      </w:r>
      <w:proofErr w:type="gramEnd"/>
      <w:r w:rsidR="00B816E8" w:rsidRPr="008E568E">
        <w:rPr>
          <w:color w:val="008000"/>
          <w:szCs w:val="24"/>
        </w:rPr>
        <w:t>)</w:t>
      </w:r>
    </w:p>
    <w:p w:rsidR="008E568E" w:rsidRDefault="001B6012" w:rsidP="001B6012">
      <w:pPr>
        <w:pStyle w:val="BodyText2"/>
        <w:ind w:firstLine="720"/>
        <w:rPr>
          <w:color w:val="008000"/>
          <w:szCs w:val="24"/>
        </w:rPr>
      </w:pPr>
      <w:r w:rsidRPr="008E568E">
        <w:rPr>
          <w:color w:val="008000"/>
          <w:szCs w:val="24"/>
        </w:rPr>
        <w:t>Best Practice 61 (Allowed use of Cause Code 51 when Medium timer and DD</w:t>
      </w:r>
    </w:p>
    <w:p w:rsidR="001B6012" w:rsidRDefault="008E568E" w:rsidP="001B6012">
      <w:pPr>
        <w:pStyle w:val="BodyText2"/>
        <w:ind w:firstLine="720"/>
        <w:rPr>
          <w:color w:val="008000"/>
          <w:szCs w:val="24"/>
        </w:rPr>
      </w:pPr>
      <w:r>
        <w:rPr>
          <w:color w:val="008000"/>
          <w:szCs w:val="24"/>
        </w:rPr>
        <w:t xml:space="preserve">                            </w:t>
      </w:r>
      <w:proofErr w:type="gramStart"/>
      <w:r w:rsidR="001B6012" w:rsidRPr="008E568E">
        <w:rPr>
          <w:color w:val="008000"/>
          <w:szCs w:val="24"/>
        </w:rPr>
        <w:t>mismatch</w:t>
      </w:r>
      <w:proofErr w:type="gramEnd"/>
      <w:r w:rsidR="001B6012" w:rsidRPr="008E568E">
        <w:rPr>
          <w:color w:val="008000"/>
          <w:szCs w:val="24"/>
        </w:rPr>
        <w:t xml:space="preserve"> occurs)</w:t>
      </w:r>
    </w:p>
    <w:p w:rsidR="00CC7F27" w:rsidRPr="008E568E" w:rsidRDefault="00CC7F27" w:rsidP="001B6012">
      <w:pPr>
        <w:pStyle w:val="BodyText2"/>
        <w:ind w:firstLine="720"/>
        <w:rPr>
          <w:color w:val="008000"/>
          <w:szCs w:val="24"/>
        </w:rPr>
      </w:pPr>
      <w:r>
        <w:rPr>
          <w:color w:val="008000"/>
          <w:szCs w:val="24"/>
        </w:rPr>
        <w:t>Best Practice 63 (Sending after FOC messaging consistent with FOC method)</w:t>
      </w:r>
    </w:p>
    <w:p w:rsidR="008E568E" w:rsidRDefault="001B6012" w:rsidP="001B6012">
      <w:pPr>
        <w:pStyle w:val="BodyText2"/>
        <w:ind w:firstLine="720"/>
        <w:rPr>
          <w:color w:val="008000"/>
          <w:szCs w:val="24"/>
        </w:rPr>
      </w:pPr>
      <w:r w:rsidRPr="008E568E">
        <w:rPr>
          <w:color w:val="008000"/>
          <w:szCs w:val="24"/>
        </w:rPr>
        <w:t>Best Practice 6</w:t>
      </w:r>
      <w:r w:rsidR="00B816E8" w:rsidRPr="008E568E">
        <w:rPr>
          <w:color w:val="008000"/>
          <w:szCs w:val="24"/>
        </w:rPr>
        <w:t xml:space="preserve">4 (adequate notification to other SP’s when a provider changes </w:t>
      </w:r>
    </w:p>
    <w:p w:rsidR="00B816E8" w:rsidRPr="008E568E" w:rsidRDefault="008E568E" w:rsidP="001B6012">
      <w:pPr>
        <w:pStyle w:val="BodyText2"/>
        <w:ind w:firstLine="720"/>
        <w:rPr>
          <w:color w:val="008000"/>
          <w:szCs w:val="24"/>
        </w:rPr>
      </w:pPr>
      <w:r>
        <w:rPr>
          <w:color w:val="008000"/>
          <w:szCs w:val="24"/>
        </w:rPr>
        <w:t xml:space="preserve">                            </w:t>
      </w:r>
      <w:proofErr w:type="gramStart"/>
      <w:r w:rsidR="00B816E8" w:rsidRPr="008E568E">
        <w:rPr>
          <w:color w:val="008000"/>
          <w:szCs w:val="24"/>
        </w:rPr>
        <w:t>their</w:t>
      </w:r>
      <w:proofErr w:type="gramEnd"/>
      <w:r w:rsidR="00B816E8" w:rsidRPr="008E568E">
        <w:rPr>
          <w:color w:val="008000"/>
          <w:szCs w:val="24"/>
        </w:rPr>
        <w:t xml:space="preserve"> port processes)</w:t>
      </w:r>
    </w:p>
    <w:p w:rsidR="00352F95" w:rsidRPr="008E568E" w:rsidRDefault="00CC7F27" w:rsidP="001B6012">
      <w:pPr>
        <w:pStyle w:val="BodyText2"/>
        <w:ind w:firstLine="720"/>
        <w:rPr>
          <w:color w:val="008000"/>
          <w:szCs w:val="24"/>
        </w:rPr>
      </w:pPr>
      <w:r>
        <w:rPr>
          <w:color w:val="008000"/>
          <w:szCs w:val="24"/>
        </w:rPr>
        <w:t xml:space="preserve">Best Practice 65 </w:t>
      </w:r>
      <w:r w:rsidR="00B816E8" w:rsidRPr="008E568E">
        <w:rPr>
          <w:color w:val="008000"/>
          <w:szCs w:val="24"/>
        </w:rPr>
        <w:t>(LSR SUPPs, Expedites, Due Date Changes)</w:t>
      </w:r>
    </w:p>
    <w:p w:rsidR="00352F95" w:rsidRDefault="00352F95">
      <w:pPr>
        <w:rPr>
          <w:sz w:val="24"/>
        </w:rPr>
      </w:pPr>
    </w:p>
    <w:p w:rsidR="00352F95" w:rsidRDefault="00352F95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352F95" w:rsidRDefault="00352F95">
      <w:pPr>
        <w:rPr>
          <w:sz w:val="24"/>
        </w:rPr>
      </w:pPr>
    </w:p>
    <w:p w:rsidR="002D2D9B" w:rsidRPr="008E568E" w:rsidRDefault="00BA44A6" w:rsidP="00BA44A6">
      <w:pPr>
        <w:pStyle w:val="BodyText2"/>
        <w:rPr>
          <w:color w:val="008000"/>
          <w:szCs w:val="24"/>
        </w:rPr>
      </w:pPr>
      <w:r w:rsidRPr="008E568E">
        <w:rPr>
          <w:color w:val="008000"/>
          <w:szCs w:val="24"/>
        </w:rPr>
        <w:t xml:space="preserve">The LNPA WG should clearly state the expectation </w:t>
      </w:r>
      <w:r w:rsidR="002D2D9B" w:rsidRPr="008E568E">
        <w:rPr>
          <w:color w:val="008000"/>
          <w:szCs w:val="24"/>
        </w:rPr>
        <w:t>that</w:t>
      </w:r>
      <w:r w:rsidRPr="008E568E">
        <w:rPr>
          <w:color w:val="008000"/>
          <w:szCs w:val="24"/>
        </w:rPr>
        <w:t xml:space="preserve"> all providers follow the </w:t>
      </w:r>
      <w:r w:rsidR="00DF3E62" w:rsidRPr="008E568E">
        <w:rPr>
          <w:color w:val="008000"/>
          <w:szCs w:val="24"/>
        </w:rPr>
        <w:t xml:space="preserve">intent of the </w:t>
      </w:r>
      <w:r w:rsidRPr="008E568E">
        <w:rPr>
          <w:color w:val="008000"/>
          <w:szCs w:val="24"/>
        </w:rPr>
        <w:t xml:space="preserve">FCC mandated </w:t>
      </w:r>
      <w:r w:rsidR="002D2D9B" w:rsidRPr="008E568E">
        <w:rPr>
          <w:color w:val="008000"/>
          <w:szCs w:val="24"/>
        </w:rPr>
        <w:t xml:space="preserve">NANC </w:t>
      </w:r>
      <w:r w:rsidRPr="008E568E">
        <w:rPr>
          <w:color w:val="008000"/>
          <w:szCs w:val="24"/>
        </w:rPr>
        <w:t xml:space="preserve">LNP </w:t>
      </w:r>
      <w:r w:rsidR="002D2D9B" w:rsidRPr="008E568E">
        <w:rPr>
          <w:color w:val="008000"/>
          <w:szCs w:val="24"/>
        </w:rPr>
        <w:t>P</w:t>
      </w:r>
      <w:r w:rsidRPr="008E568E">
        <w:rPr>
          <w:color w:val="008000"/>
          <w:szCs w:val="24"/>
        </w:rPr>
        <w:t>rocess Flows</w:t>
      </w:r>
      <w:r w:rsidR="00DF3E62" w:rsidRPr="008E568E">
        <w:rPr>
          <w:color w:val="008000"/>
          <w:szCs w:val="24"/>
        </w:rPr>
        <w:t>. Providers should not</w:t>
      </w:r>
      <w:r w:rsidRPr="008E568E">
        <w:rPr>
          <w:color w:val="008000"/>
          <w:szCs w:val="24"/>
        </w:rPr>
        <w:t xml:space="preserve"> look for</w:t>
      </w:r>
      <w:r w:rsidR="00DF3E62" w:rsidRPr="008E568E">
        <w:rPr>
          <w:color w:val="008000"/>
          <w:szCs w:val="24"/>
        </w:rPr>
        <w:t xml:space="preserve"> the absence of defining </w:t>
      </w:r>
      <w:proofErr w:type="gramStart"/>
      <w:r w:rsidR="00DF3E62" w:rsidRPr="008E568E">
        <w:rPr>
          <w:color w:val="008000"/>
          <w:szCs w:val="24"/>
        </w:rPr>
        <w:t>each and every</w:t>
      </w:r>
      <w:proofErr w:type="gramEnd"/>
      <w:r w:rsidR="00DF3E62" w:rsidRPr="008E568E">
        <w:rPr>
          <w:color w:val="008000"/>
          <w:szCs w:val="24"/>
        </w:rPr>
        <w:t xml:space="preserve"> possible action as a </w:t>
      </w:r>
      <w:r w:rsidRPr="008E568E">
        <w:rPr>
          <w:color w:val="008000"/>
          <w:szCs w:val="24"/>
        </w:rPr>
        <w:t>loophole</w:t>
      </w:r>
      <w:r w:rsidR="00480198">
        <w:rPr>
          <w:color w:val="008000"/>
          <w:szCs w:val="24"/>
        </w:rPr>
        <w:t xml:space="preserve"> which would allow them </w:t>
      </w:r>
      <w:r w:rsidRPr="008E568E">
        <w:rPr>
          <w:color w:val="008000"/>
          <w:szCs w:val="24"/>
        </w:rPr>
        <w:t xml:space="preserve">to circumvent the correct </w:t>
      </w:r>
      <w:r w:rsidR="00DF3E62" w:rsidRPr="008E568E">
        <w:rPr>
          <w:color w:val="008000"/>
          <w:szCs w:val="24"/>
        </w:rPr>
        <w:t xml:space="preserve">porting </w:t>
      </w:r>
      <w:r w:rsidRPr="008E568E">
        <w:rPr>
          <w:color w:val="008000"/>
          <w:szCs w:val="24"/>
        </w:rPr>
        <w:t xml:space="preserve">process. </w:t>
      </w:r>
      <w:r w:rsidR="00E375EF">
        <w:rPr>
          <w:color w:val="008000"/>
          <w:szCs w:val="24"/>
        </w:rPr>
        <w:t>The New Provider</w:t>
      </w:r>
      <w:r w:rsidR="0026751E">
        <w:rPr>
          <w:color w:val="008000"/>
          <w:szCs w:val="24"/>
        </w:rPr>
        <w:t>(</w:t>
      </w:r>
      <w:r w:rsidR="00E375EF">
        <w:rPr>
          <w:color w:val="008000"/>
          <w:szCs w:val="24"/>
        </w:rPr>
        <w:t>s</w:t>
      </w:r>
      <w:r w:rsidR="0026751E">
        <w:rPr>
          <w:color w:val="008000"/>
          <w:szCs w:val="24"/>
        </w:rPr>
        <w:t>)</w:t>
      </w:r>
      <w:r w:rsidR="00E375EF">
        <w:rPr>
          <w:color w:val="008000"/>
          <w:szCs w:val="24"/>
        </w:rPr>
        <w:t xml:space="preserve"> who are </w:t>
      </w:r>
      <w:r w:rsidR="0026751E">
        <w:rPr>
          <w:color w:val="008000"/>
          <w:szCs w:val="24"/>
        </w:rPr>
        <w:t xml:space="preserve">currently </w:t>
      </w:r>
      <w:r w:rsidR="00E375EF">
        <w:rPr>
          <w:color w:val="008000"/>
          <w:szCs w:val="24"/>
        </w:rPr>
        <w:t xml:space="preserve">performing this inappropriate action should immediately cease doing so and should send a SUPP to the Old Provider should they want to re-negotiate </w:t>
      </w:r>
      <w:r w:rsidR="0026751E">
        <w:rPr>
          <w:color w:val="008000"/>
          <w:szCs w:val="24"/>
        </w:rPr>
        <w:t>a new</w:t>
      </w:r>
      <w:r w:rsidR="00E375EF">
        <w:rPr>
          <w:color w:val="008000"/>
          <w:szCs w:val="24"/>
        </w:rPr>
        <w:t xml:space="preserve"> due date.</w:t>
      </w:r>
    </w:p>
    <w:p w:rsidR="002D2D9B" w:rsidRPr="008E568E" w:rsidRDefault="002D2D9B" w:rsidP="00BA44A6">
      <w:pPr>
        <w:pStyle w:val="BodyText2"/>
        <w:rPr>
          <w:color w:val="008000"/>
          <w:szCs w:val="24"/>
        </w:rPr>
      </w:pPr>
    </w:p>
    <w:p w:rsidR="00BA44A6" w:rsidRPr="008E568E" w:rsidRDefault="002E12AE" w:rsidP="00BA44A6">
      <w:pPr>
        <w:pStyle w:val="BodyText2"/>
        <w:rPr>
          <w:color w:val="008000"/>
          <w:szCs w:val="24"/>
        </w:rPr>
      </w:pPr>
      <w:r>
        <w:rPr>
          <w:color w:val="008000"/>
          <w:szCs w:val="24"/>
        </w:rPr>
        <w:t>A potential</w:t>
      </w:r>
      <w:r w:rsidR="00E375EF">
        <w:rPr>
          <w:color w:val="008000"/>
          <w:szCs w:val="24"/>
        </w:rPr>
        <w:t xml:space="preserve"> solution could be a NPAC </w:t>
      </w:r>
      <w:r w:rsidR="00BA44A6" w:rsidRPr="008E568E">
        <w:rPr>
          <w:color w:val="008000"/>
          <w:szCs w:val="24"/>
        </w:rPr>
        <w:t>change order made that will put in systemic blocks at NPAC to stop the unilateral “taking” of a port earlier than the mutually agreed upon FOC due date.</w:t>
      </w:r>
      <w:r w:rsidR="002D2D9B" w:rsidRPr="008E568E">
        <w:rPr>
          <w:color w:val="008000"/>
          <w:szCs w:val="24"/>
        </w:rPr>
        <w:t xml:space="preserve"> This would mean any </w:t>
      </w:r>
      <w:r w:rsidR="0026751E">
        <w:rPr>
          <w:color w:val="008000"/>
          <w:szCs w:val="24"/>
        </w:rPr>
        <w:t xml:space="preserve">port </w:t>
      </w:r>
      <w:r w:rsidR="0026751E" w:rsidRPr="008E568E">
        <w:rPr>
          <w:color w:val="008000"/>
          <w:szCs w:val="24"/>
        </w:rPr>
        <w:t>modifies</w:t>
      </w:r>
      <w:r w:rsidR="002D2D9B" w:rsidRPr="008E568E">
        <w:rPr>
          <w:color w:val="008000"/>
          <w:szCs w:val="24"/>
        </w:rPr>
        <w:t xml:space="preserve"> </w:t>
      </w:r>
      <w:r w:rsidR="00FF0F46">
        <w:rPr>
          <w:color w:val="008000"/>
          <w:szCs w:val="24"/>
        </w:rPr>
        <w:t xml:space="preserve">affecting the timers or the due date </w:t>
      </w:r>
      <w:r w:rsidR="002D2D9B" w:rsidRPr="008E568E">
        <w:rPr>
          <w:color w:val="008000"/>
          <w:szCs w:val="24"/>
        </w:rPr>
        <w:t xml:space="preserve">at NPAC after the T1/T2 timers have stopped would have to </w:t>
      </w:r>
      <w:proofErr w:type="gramStart"/>
      <w:r w:rsidR="002D2D9B" w:rsidRPr="008E568E">
        <w:rPr>
          <w:color w:val="008000"/>
          <w:szCs w:val="24"/>
        </w:rPr>
        <w:t>be concurred</w:t>
      </w:r>
      <w:proofErr w:type="gramEnd"/>
      <w:r w:rsidR="002D2D9B" w:rsidRPr="008E568E">
        <w:rPr>
          <w:color w:val="008000"/>
          <w:szCs w:val="24"/>
        </w:rPr>
        <w:t xml:space="preserve"> to by both </w:t>
      </w:r>
      <w:r w:rsidR="0026751E">
        <w:rPr>
          <w:color w:val="008000"/>
          <w:szCs w:val="24"/>
        </w:rPr>
        <w:t>P</w:t>
      </w:r>
      <w:r w:rsidR="002D2D9B" w:rsidRPr="008E568E">
        <w:rPr>
          <w:color w:val="008000"/>
          <w:szCs w:val="24"/>
        </w:rPr>
        <w:t>roviders.</w:t>
      </w:r>
      <w:r w:rsidR="00E375EF">
        <w:rPr>
          <w:color w:val="008000"/>
          <w:szCs w:val="24"/>
        </w:rPr>
        <w:t xml:space="preserve"> There would be a cost to the industry to do this.</w:t>
      </w:r>
    </w:p>
    <w:p w:rsidR="00DF3E62" w:rsidRPr="008E568E" w:rsidRDefault="00DF3E62" w:rsidP="00BA44A6">
      <w:pPr>
        <w:pStyle w:val="BodyText2"/>
        <w:rPr>
          <w:color w:val="008000"/>
          <w:szCs w:val="24"/>
        </w:rPr>
      </w:pPr>
    </w:p>
    <w:p w:rsidR="002D2D9B" w:rsidRPr="008E568E" w:rsidRDefault="002D2D9B" w:rsidP="00BA44A6">
      <w:pPr>
        <w:pStyle w:val="BodyText2"/>
        <w:rPr>
          <w:color w:val="008000"/>
          <w:szCs w:val="24"/>
        </w:rPr>
      </w:pPr>
      <w:proofErr w:type="gramStart"/>
      <w:r w:rsidRPr="008E568E">
        <w:rPr>
          <w:color w:val="008000"/>
          <w:szCs w:val="24"/>
        </w:rPr>
        <w:t>Another</w:t>
      </w:r>
      <w:r w:rsidR="00E375EF">
        <w:rPr>
          <w:color w:val="008000"/>
          <w:szCs w:val="24"/>
        </w:rPr>
        <w:t xml:space="preserve"> </w:t>
      </w:r>
      <w:r w:rsidRPr="008E568E">
        <w:rPr>
          <w:color w:val="008000"/>
          <w:szCs w:val="24"/>
        </w:rPr>
        <w:t>solution c</w:t>
      </w:r>
      <w:r w:rsidR="00DF3E62" w:rsidRPr="008E568E">
        <w:rPr>
          <w:color w:val="008000"/>
          <w:szCs w:val="24"/>
        </w:rPr>
        <w:t>ould</w:t>
      </w:r>
      <w:r w:rsidRPr="008E568E">
        <w:rPr>
          <w:color w:val="008000"/>
          <w:szCs w:val="24"/>
        </w:rPr>
        <w:t xml:space="preserve"> be for Old </w:t>
      </w:r>
      <w:r w:rsidR="00DF3E62" w:rsidRPr="008E568E">
        <w:rPr>
          <w:color w:val="008000"/>
          <w:szCs w:val="24"/>
        </w:rPr>
        <w:t>P</w:t>
      </w:r>
      <w:r w:rsidRPr="008E568E">
        <w:rPr>
          <w:color w:val="008000"/>
          <w:szCs w:val="24"/>
        </w:rPr>
        <w:t xml:space="preserve">roviders to </w:t>
      </w:r>
      <w:r w:rsidR="00E375EF">
        <w:rPr>
          <w:color w:val="008000"/>
          <w:szCs w:val="24"/>
        </w:rPr>
        <w:t>“</w:t>
      </w:r>
      <w:r w:rsidRPr="008E568E">
        <w:rPr>
          <w:color w:val="008000"/>
          <w:szCs w:val="24"/>
        </w:rPr>
        <w:t>not</w:t>
      </w:r>
      <w:r w:rsidR="00E375EF">
        <w:rPr>
          <w:color w:val="008000"/>
          <w:szCs w:val="24"/>
        </w:rPr>
        <w:t>”</w:t>
      </w:r>
      <w:r w:rsidRPr="008E568E">
        <w:rPr>
          <w:color w:val="008000"/>
          <w:szCs w:val="24"/>
        </w:rPr>
        <w:t xml:space="preserve"> send the matching SV Create</w:t>
      </w:r>
      <w:r w:rsidR="008E45D0">
        <w:rPr>
          <w:color w:val="008000"/>
          <w:szCs w:val="24"/>
        </w:rPr>
        <w:t xml:space="preserve"> or to delay the ‘send’ of the initial matching </w:t>
      </w:r>
      <w:r w:rsidR="00E375EF" w:rsidRPr="008E568E">
        <w:rPr>
          <w:color w:val="008000"/>
          <w:szCs w:val="24"/>
        </w:rPr>
        <w:t>SV Create</w:t>
      </w:r>
      <w:r w:rsidR="00E375EF">
        <w:rPr>
          <w:color w:val="008000"/>
          <w:szCs w:val="24"/>
        </w:rPr>
        <w:t xml:space="preserve"> </w:t>
      </w:r>
      <w:r w:rsidR="008E45D0">
        <w:rPr>
          <w:color w:val="008000"/>
          <w:szCs w:val="24"/>
        </w:rPr>
        <w:t>to NPAC</w:t>
      </w:r>
      <w:r w:rsidRPr="008E568E">
        <w:rPr>
          <w:color w:val="008000"/>
          <w:szCs w:val="24"/>
        </w:rPr>
        <w:t xml:space="preserve">, which will then </w:t>
      </w:r>
      <w:r w:rsidR="008E45D0">
        <w:rPr>
          <w:color w:val="008000"/>
          <w:szCs w:val="24"/>
        </w:rPr>
        <w:t>allow</w:t>
      </w:r>
      <w:r w:rsidRPr="008E568E">
        <w:rPr>
          <w:color w:val="008000"/>
          <w:szCs w:val="24"/>
        </w:rPr>
        <w:t xml:space="preserve"> the </w:t>
      </w:r>
      <w:r w:rsidR="00DF3E62" w:rsidRPr="008E568E">
        <w:rPr>
          <w:color w:val="008000"/>
          <w:szCs w:val="24"/>
        </w:rPr>
        <w:t xml:space="preserve">T1/T2 timers </w:t>
      </w:r>
      <w:r w:rsidR="008E45D0">
        <w:rPr>
          <w:color w:val="008000"/>
          <w:szCs w:val="24"/>
        </w:rPr>
        <w:t xml:space="preserve">to </w:t>
      </w:r>
      <w:r w:rsidR="00DF3E62" w:rsidRPr="008E568E">
        <w:rPr>
          <w:color w:val="008000"/>
          <w:szCs w:val="24"/>
        </w:rPr>
        <w:t xml:space="preserve">run their agreed upon course and will prevent the </w:t>
      </w:r>
      <w:r w:rsidR="008E45D0">
        <w:rPr>
          <w:color w:val="008000"/>
          <w:szCs w:val="24"/>
        </w:rPr>
        <w:t>N</w:t>
      </w:r>
      <w:r w:rsidR="00DF3E62" w:rsidRPr="008E568E">
        <w:rPr>
          <w:color w:val="008000"/>
          <w:szCs w:val="24"/>
        </w:rPr>
        <w:t xml:space="preserve">ew </w:t>
      </w:r>
      <w:r w:rsidR="008E45D0">
        <w:rPr>
          <w:color w:val="008000"/>
          <w:szCs w:val="24"/>
        </w:rPr>
        <w:t>P</w:t>
      </w:r>
      <w:r w:rsidR="00DF3E62" w:rsidRPr="008E568E">
        <w:rPr>
          <w:color w:val="008000"/>
          <w:szCs w:val="24"/>
        </w:rPr>
        <w:t xml:space="preserve">rovider from </w:t>
      </w:r>
      <w:r w:rsidR="00480198">
        <w:rPr>
          <w:color w:val="008000"/>
          <w:szCs w:val="24"/>
        </w:rPr>
        <w:t xml:space="preserve">unilaterally </w:t>
      </w:r>
      <w:r w:rsidR="00DF3E62" w:rsidRPr="008E568E">
        <w:rPr>
          <w:color w:val="008000"/>
          <w:szCs w:val="24"/>
        </w:rPr>
        <w:t>mov</w:t>
      </w:r>
      <w:r w:rsidR="00E375EF">
        <w:rPr>
          <w:color w:val="008000"/>
          <w:szCs w:val="24"/>
        </w:rPr>
        <w:t>ing</w:t>
      </w:r>
      <w:r w:rsidR="00DF3E62" w:rsidRPr="008E568E">
        <w:rPr>
          <w:color w:val="008000"/>
          <w:szCs w:val="24"/>
        </w:rPr>
        <w:t xml:space="preserve"> up a </w:t>
      </w:r>
      <w:r w:rsidR="00480198">
        <w:rPr>
          <w:color w:val="008000"/>
          <w:szCs w:val="24"/>
        </w:rPr>
        <w:t>due date</w:t>
      </w:r>
      <w:r w:rsidR="008E45D0">
        <w:rPr>
          <w:color w:val="008000"/>
          <w:szCs w:val="24"/>
        </w:rPr>
        <w:t xml:space="preserve"> unless it is concurred by the Old Provider</w:t>
      </w:r>
      <w:r w:rsidR="00480198">
        <w:rPr>
          <w:color w:val="008000"/>
          <w:szCs w:val="24"/>
        </w:rPr>
        <w:t>.</w:t>
      </w:r>
      <w:proofErr w:type="gramEnd"/>
      <w:r w:rsidR="00E375EF">
        <w:rPr>
          <w:color w:val="008000"/>
          <w:szCs w:val="24"/>
        </w:rPr>
        <w:t xml:space="preserve"> This would not be the preferred solution</w:t>
      </w:r>
      <w:r w:rsidR="00D46D8F">
        <w:rPr>
          <w:color w:val="008000"/>
          <w:szCs w:val="24"/>
        </w:rPr>
        <w:t xml:space="preserve">, but may be the only option available to the Old Provider to prevent service impacts on not only the porting end user, </w:t>
      </w:r>
      <w:proofErr w:type="gramStart"/>
      <w:r w:rsidR="00D46D8F">
        <w:rPr>
          <w:color w:val="008000"/>
          <w:szCs w:val="24"/>
        </w:rPr>
        <w:t>but</w:t>
      </w:r>
      <w:proofErr w:type="gramEnd"/>
      <w:r w:rsidR="00D46D8F">
        <w:rPr>
          <w:color w:val="008000"/>
          <w:szCs w:val="24"/>
        </w:rPr>
        <w:t xml:space="preserve"> other end users of the Old Provider whose calls to the ported end user’s TN might fail</w:t>
      </w:r>
      <w:r w:rsidR="00E375EF">
        <w:rPr>
          <w:color w:val="008000"/>
          <w:szCs w:val="24"/>
        </w:rPr>
        <w:t>.</w:t>
      </w:r>
    </w:p>
    <w:p w:rsidR="00352F95" w:rsidRDefault="00352F95">
      <w:pPr>
        <w:rPr>
          <w:sz w:val="24"/>
        </w:rPr>
      </w:pPr>
    </w:p>
    <w:p w:rsidR="00490FAA" w:rsidRPr="00EE728F" w:rsidRDefault="00490FAA" w:rsidP="009469C7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490FAA" w:rsidRPr="00EE728F" w:rsidRDefault="00490FAA" w:rsidP="00490FAA">
      <w:pPr>
        <w:ind w:left="360"/>
      </w:pPr>
    </w:p>
    <w:p w:rsidR="00490FAA" w:rsidRDefault="00490FAA" w:rsidP="0085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Consensus </w:t>
      </w:r>
      <w:proofErr w:type="gramStart"/>
      <w:r>
        <w:t>was reached</w:t>
      </w:r>
      <w:proofErr w:type="gramEnd"/>
      <w:r>
        <w:t xml:space="preserve"> to make the recommended change to the NANC flows.</w:t>
      </w:r>
      <w:r w:rsidR="009469C7">
        <w:t xml:space="preserve"> </w:t>
      </w:r>
      <w:r>
        <w:t xml:space="preserve"> (AT&amp;T</w:t>
      </w:r>
      <w:r w:rsidR="00A53679">
        <w:t xml:space="preserve"> </w:t>
      </w:r>
      <w:r>
        <w:t xml:space="preserve">asked to </w:t>
      </w:r>
      <w:proofErr w:type="gramStart"/>
      <w:r>
        <w:t>be noted</w:t>
      </w:r>
      <w:proofErr w:type="gramEnd"/>
      <w:r>
        <w:t xml:space="preserve"> as disagreeing with the changes.)</w:t>
      </w:r>
      <w:r w:rsidR="009477CA">
        <w:t xml:space="preserve"> </w:t>
      </w:r>
      <w:r>
        <w:t xml:space="preserve">Changes </w:t>
      </w:r>
      <w:proofErr w:type="gramStart"/>
      <w:r>
        <w:t>will be made</w:t>
      </w:r>
      <w:proofErr w:type="gramEnd"/>
      <w:r>
        <w:t xml:space="preserve"> in the flows</w:t>
      </w:r>
      <w:r w:rsidR="00A53679">
        <w:t xml:space="preserve"> </w:t>
      </w:r>
      <w:r>
        <w:t>and they will be submitted to the NANC for approval and forwarding to the FCC.</w:t>
      </w:r>
    </w:p>
    <w:p w:rsidR="00490FAA" w:rsidRDefault="00490FAA" w:rsidP="0085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Consensus </w:t>
      </w:r>
      <w:proofErr w:type="gramStart"/>
      <w:r>
        <w:t>was not reached</w:t>
      </w:r>
      <w:proofErr w:type="gramEnd"/>
      <w:r>
        <w:t xml:space="preserve"> to extend the definition of Cause Code 51 in the NANC</w:t>
      </w:r>
    </w:p>
    <w:p w:rsidR="00490FAA" w:rsidRPr="00EE728F" w:rsidRDefault="00490FAA" w:rsidP="0085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Flows or in Best Practice 61.</w:t>
      </w:r>
      <w:r w:rsidR="009477CA">
        <w:t xml:space="preserve">  </w:t>
      </w:r>
      <w:r>
        <w:t xml:space="preserve">PIM </w:t>
      </w:r>
      <w:proofErr w:type="gramStart"/>
      <w:r>
        <w:t>was CLOSED</w:t>
      </w:r>
      <w:proofErr w:type="gramEnd"/>
    </w:p>
    <w:p w:rsidR="00490FAA" w:rsidRDefault="00490FAA" w:rsidP="00853D80">
      <w:pPr>
        <w:rPr>
          <w:rFonts w:ascii="Calibri" w:hAnsi="Calibri" w:cs="Calibri"/>
          <w:sz w:val="22"/>
          <w:szCs w:val="22"/>
        </w:rPr>
      </w:pPr>
    </w:p>
    <w:p w:rsidR="00490FAA" w:rsidRDefault="00490FAA" w:rsidP="0085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b/>
          <w:u w:val="single"/>
        </w:rPr>
        <w:t>LNPA WG:</w:t>
      </w:r>
      <w:r>
        <w:t xml:space="preserve"> (only)</w:t>
      </w:r>
      <w:r>
        <w:tab/>
      </w:r>
      <w:r>
        <w:tab/>
      </w:r>
      <w:r>
        <w:tab/>
      </w:r>
      <w:r>
        <w:tab/>
        <w:t xml:space="preserve">Final Resolution Date: </w:t>
      </w:r>
      <w:r w:rsidR="00A53679">
        <w:t>3/5/13</w:t>
      </w:r>
    </w:p>
    <w:p w:rsidR="00490FAA" w:rsidRDefault="00490FAA" w:rsidP="0085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t>Item Number: PIM 081 v2</w:t>
      </w:r>
      <w:r>
        <w:tab/>
      </w:r>
      <w:r>
        <w:tab/>
      </w:r>
      <w:r>
        <w:tab/>
      </w:r>
      <w:r w:rsidR="00C47D7A">
        <w:tab/>
      </w:r>
      <w:bookmarkStart w:id="0" w:name="_GoBack"/>
      <w:bookmarkEnd w:id="0"/>
      <w:r>
        <w:t>Related Documents:</w:t>
      </w:r>
      <w:r w:rsidR="009469C7">
        <w:t xml:space="preserve"> BPs - 55, 61, 63, 64, 65</w:t>
      </w:r>
    </w:p>
    <w:p w:rsidR="00490FAA" w:rsidRDefault="00490FAA" w:rsidP="0085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t xml:space="preserve">Issue Resolution Referred </w:t>
      </w:r>
      <w:proofErr w:type="gramStart"/>
      <w:r>
        <w:t>to:</w:t>
      </w:r>
      <w:proofErr w:type="gramEnd"/>
      <w:r>
        <w:t xml:space="preserve"> _________________________________________________________</w:t>
      </w:r>
    </w:p>
    <w:p w:rsidR="00352F95" w:rsidRDefault="00490FAA" w:rsidP="0085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t xml:space="preserve">Why Issue </w:t>
      </w:r>
      <w:proofErr w:type="gramStart"/>
      <w:r>
        <w:t>Referred:</w:t>
      </w:r>
      <w:proofErr w:type="gramEnd"/>
      <w:r>
        <w:t xml:space="preserve"> __________________________________________________________________ ______________________________________________________________________________________________________________________________________________________________________</w:t>
      </w:r>
    </w:p>
    <w:sectPr w:rsidR="00352F95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2F" w:rsidRDefault="00D5302F">
      <w:r>
        <w:separator/>
      </w:r>
    </w:p>
  </w:endnote>
  <w:endnote w:type="continuationSeparator" w:id="0">
    <w:p w:rsidR="00D5302F" w:rsidRDefault="00D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5" w:rsidRDefault="00352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2F95" w:rsidRDefault="00352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5" w:rsidRDefault="00352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D7A">
      <w:rPr>
        <w:rStyle w:val="PageNumber"/>
        <w:noProof/>
      </w:rPr>
      <w:t>3</w:t>
    </w:r>
    <w:r>
      <w:rPr>
        <w:rStyle w:val="PageNumber"/>
      </w:rPr>
      <w:fldChar w:fldCharType="end"/>
    </w:r>
  </w:p>
  <w:p w:rsidR="00352F95" w:rsidRDefault="00352F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2F" w:rsidRDefault="00D5302F">
      <w:r>
        <w:separator/>
      </w:r>
    </w:p>
  </w:footnote>
  <w:footnote w:type="continuationSeparator" w:id="0">
    <w:p w:rsidR="00D5302F" w:rsidRDefault="00D5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5" w:rsidRDefault="00352F9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22" w:hanging="360"/>
      </w:pPr>
      <w:rPr>
        <w:rFonts w:ascii="Times New Roman" w:hAnsi="Times New Roman" w:cs="Times New Roman"/>
        <w:b w:val="0"/>
        <w:bCs w:val="0"/>
        <w:spacing w:val="-25"/>
        <w:w w:val="100"/>
        <w:sz w:val="22"/>
        <w:szCs w:val="22"/>
      </w:rPr>
    </w:lvl>
    <w:lvl w:ilvl="2">
      <w:numFmt w:val="bullet"/>
      <w:lvlText w:val="•"/>
      <w:lvlJc w:val="left"/>
      <w:pPr>
        <w:ind w:left="1822" w:hanging="360"/>
      </w:pPr>
    </w:lvl>
    <w:lvl w:ilvl="3">
      <w:numFmt w:val="bullet"/>
      <w:lvlText w:val="•"/>
      <w:lvlJc w:val="left"/>
      <w:pPr>
        <w:ind w:left="2724" w:hanging="360"/>
      </w:pPr>
    </w:lvl>
    <w:lvl w:ilvl="4">
      <w:numFmt w:val="bullet"/>
      <w:lvlText w:val="•"/>
      <w:lvlJc w:val="left"/>
      <w:pPr>
        <w:ind w:left="3626" w:hanging="360"/>
      </w:pPr>
    </w:lvl>
    <w:lvl w:ilvl="5">
      <w:numFmt w:val="bullet"/>
      <w:lvlText w:val="•"/>
      <w:lvlJc w:val="left"/>
      <w:pPr>
        <w:ind w:left="4528" w:hanging="360"/>
      </w:pPr>
    </w:lvl>
    <w:lvl w:ilvl="6">
      <w:numFmt w:val="bullet"/>
      <w:lvlText w:val="•"/>
      <w:lvlJc w:val="left"/>
      <w:pPr>
        <w:ind w:left="5431" w:hanging="360"/>
      </w:pPr>
    </w:lvl>
    <w:lvl w:ilvl="7">
      <w:numFmt w:val="bullet"/>
      <w:lvlText w:val="•"/>
      <w:lvlJc w:val="left"/>
      <w:pPr>
        <w:ind w:left="6333" w:hanging="360"/>
      </w:pPr>
    </w:lvl>
    <w:lvl w:ilvl="8">
      <w:numFmt w:val="bullet"/>
      <w:lvlText w:val="•"/>
      <w:lvlJc w:val="left"/>
      <w:pPr>
        <w:ind w:left="7235" w:hanging="360"/>
      </w:p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0545BC"/>
    <w:multiLevelType w:val="multilevel"/>
    <w:tmpl w:val="AE769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922" w:hanging="360"/>
      </w:pPr>
      <w:rPr>
        <w:rFonts w:ascii="Times New Roman" w:hAnsi="Times New Roman" w:cs="Times New Roman"/>
        <w:b w:val="0"/>
        <w:bCs w:val="0"/>
        <w:spacing w:val="-25"/>
        <w:w w:val="100"/>
        <w:sz w:val="22"/>
        <w:szCs w:val="22"/>
      </w:rPr>
    </w:lvl>
    <w:lvl w:ilvl="2">
      <w:numFmt w:val="bullet"/>
      <w:lvlText w:val="•"/>
      <w:lvlJc w:val="left"/>
      <w:pPr>
        <w:ind w:left="1822" w:hanging="360"/>
      </w:pPr>
    </w:lvl>
    <w:lvl w:ilvl="3">
      <w:numFmt w:val="bullet"/>
      <w:lvlText w:val="•"/>
      <w:lvlJc w:val="left"/>
      <w:pPr>
        <w:ind w:left="2724" w:hanging="360"/>
      </w:pPr>
    </w:lvl>
    <w:lvl w:ilvl="4">
      <w:numFmt w:val="bullet"/>
      <w:lvlText w:val="•"/>
      <w:lvlJc w:val="left"/>
      <w:pPr>
        <w:ind w:left="3626" w:hanging="360"/>
      </w:pPr>
    </w:lvl>
    <w:lvl w:ilvl="5">
      <w:numFmt w:val="bullet"/>
      <w:lvlText w:val="•"/>
      <w:lvlJc w:val="left"/>
      <w:pPr>
        <w:ind w:left="4528" w:hanging="360"/>
      </w:pPr>
    </w:lvl>
    <w:lvl w:ilvl="6">
      <w:numFmt w:val="bullet"/>
      <w:lvlText w:val="•"/>
      <w:lvlJc w:val="left"/>
      <w:pPr>
        <w:ind w:left="5431" w:hanging="360"/>
      </w:pPr>
    </w:lvl>
    <w:lvl w:ilvl="7">
      <w:numFmt w:val="bullet"/>
      <w:lvlText w:val="•"/>
      <w:lvlJc w:val="left"/>
      <w:pPr>
        <w:ind w:left="6333" w:hanging="360"/>
      </w:pPr>
    </w:lvl>
    <w:lvl w:ilvl="8">
      <w:numFmt w:val="bullet"/>
      <w:lvlText w:val="•"/>
      <w:lvlJc w:val="left"/>
      <w:pPr>
        <w:ind w:left="7235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6"/>
    <w:rsid w:val="00082258"/>
    <w:rsid w:val="000F5E19"/>
    <w:rsid w:val="0013726F"/>
    <w:rsid w:val="0016261E"/>
    <w:rsid w:val="001664E9"/>
    <w:rsid w:val="001B6012"/>
    <w:rsid w:val="001D624E"/>
    <w:rsid w:val="00252547"/>
    <w:rsid w:val="0026751E"/>
    <w:rsid w:val="002827B7"/>
    <w:rsid w:val="002D1ECB"/>
    <w:rsid w:val="002D2D9B"/>
    <w:rsid w:val="002E12AE"/>
    <w:rsid w:val="003044E1"/>
    <w:rsid w:val="003507AF"/>
    <w:rsid w:val="00352F95"/>
    <w:rsid w:val="003A148A"/>
    <w:rsid w:val="003A4EF8"/>
    <w:rsid w:val="0048003C"/>
    <w:rsid w:val="00480198"/>
    <w:rsid w:val="00490FAA"/>
    <w:rsid w:val="004F4A9F"/>
    <w:rsid w:val="00566741"/>
    <w:rsid w:val="0064020F"/>
    <w:rsid w:val="0064562A"/>
    <w:rsid w:val="0066651A"/>
    <w:rsid w:val="00690237"/>
    <w:rsid w:val="006E20A3"/>
    <w:rsid w:val="007161C9"/>
    <w:rsid w:val="00764FFE"/>
    <w:rsid w:val="007D2922"/>
    <w:rsid w:val="007F75CE"/>
    <w:rsid w:val="0083574A"/>
    <w:rsid w:val="00835CBF"/>
    <w:rsid w:val="00842B54"/>
    <w:rsid w:val="008440EB"/>
    <w:rsid w:val="00850D16"/>
    <w:rsid w:val="00853D80"/>
    <w:rsid w:val="00896140"/>
    <w:rsid w:val="008A29E9"/>
    <w:rsid w:val="008E163A"/>
    <w:rsid w:val="008E45D0"/>
    <w:rsid w:val="008E568E"/>
    <w:rsid w:val="008F30BF"/>
    <w:rsid w:val="00924727"/>
    <w:rsid w:val="00932A77"/>
    <w:rsid w:val="00940A95"/>
    <w:rsid w:val="009469C7"/>
    <w:rsid w:val="009477CA"/>
    <w:rsid w:val="0098159F"/>
    <w:rsid w:val="009E614C"/>
    <w:rsid w:val="00A240CC"/>
    <w:rsid w:val="00A53679"/>
    <w:rsid w:val="00A609B9"/>
    <w:rsid w:val="00A62CB7"/>
    <w:rsid w:val="00A843B6"/>
    <w:rsid w:val="00AC4B12"/>
    <w:rsid w:val="00AD72FD"/>
    <w:rsid w:val="00AE5F0C"/>
    <w:rsid w:val="00B51EE4"/>
    <w:rsid w:val="00B816E8"/>
    <w:rsid w:val="00BA44A6"/>
    <w:rsid w:val="00BA6125"/>
    <w:rsid w:val="00BC6FAC"/>
    <w:rsid w:val="00BE237B"/>
    <w:rsid w:val="00C02D4A"/>
    <w:rsid w:val="00C32E96"/>
    <w:rsid w:val="00C47D7A"/>
    <w:rsid w:val="00C72FA1"/>
    <w:rsid w:val="00CA1319"/>
    <w:rsid w:val="00CB7352"/>
    <w:rsid w:val="00CC7F27"/>
    <w:rsid w:val="00D16D42"/>
    <w:rsid w:val="00D46836"/>
    <w:rsid w:val="00D46D8F"/>
    <w:rsid w:val="00D47A58"/>
    <w:rsid w:val="00D5302F"/>
    <w:rsid w:val="00D635A1"/>
    <w:rsid w:val="00DE0B78"/>
    <w:rsid w:val="00DF3E62"/>
    <w:rsid w:val="00E22109"/>
    <w:rsid w:val="00E3363B"/>
    <w:rsid w:val="00E3727A"/>
    <w:rsid w:val="00E375EF"/>
    <w:rsid w:val="00E40159"/>
    <w:rsid w:val="00EB77FA"/>
    <w:rsid w:val="00ED6C47"/>
    <w:rsid w:val="00EE05EB"/>
    <w:rsid w:val="00EF0622"/>
    <w:rsid w:val="00F11C13"/>
    <w:rsid w:val="00F3099A"/>
    <w:rsid w:val="00F70DDA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94224"/>
  <w15:chartTrackingRefBased/>
  <w15:docId w15:val="{5C855127-AF92-4325-9DB5-ECC0D5E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basedOn w:val="DefaultParagraphFont"/>
    <w:uiPriority w:val="99"/>
    <w:unhideWhenUsed/>
    <w:rsid w:val="00932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90FAA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.brunner@windstrea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doell@centurylin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1397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8668</CharactersWithSpaces>
  <SharedDoc>false</SharedDoc>
  <HLinks>
    <vt:vector size="12" baseType="variant">
      <vt:variant>
        <vt:i4>2949214</vt:i4>
      </vt:variant>
      <vt:variant>
        <vt:i4>3</vt:i4>
      </vt:variant>
      <vt:variant>
        <vt:i4>0</vt:i4>
      </vt:variant>
      <vt:variant>
        <vt:i4>5</vt:i4>
      </vt:variant>
      <vt:variant>
        <vt:lpwstr>mailto:traci.brunner@windstream.com</vt:lpwstr>
      </vt:variant>
      <vt:variant>
        <vt:lpwstr/>
      </vt:variant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mailto:jan.doell@centurylink.com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8</cp:revision>
  <cp:lastPrinted>1999-05-19T19:58:00Z</cp:lastPrinted>
  <dcterms:created xsi:type="dcterms:W3CDTF">2020-02-17T21:13:00Z</dcterms:created>
  <dcterms:modified xsi:type="dcterms:W3CDTF">2020-04-22T14:32:00Z</dcterms:modified>
</cp:coreProperties>
</file>