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2372F4">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the creation of port-to-original (PTO) SVs.  The PTO SV create message did not conform to the specifications.</w:t>
      </w:r>
      <w:r w:rsidR="00051F10">
        <w:rPr>
          <w:sz w:val="20"/>
        </w:rPr>
        <w:t xml:space="preserve"> </w:t>
      </w:r>
      <w:r w:rsidR="00BA5885">
        <w:rPr>
          <w:sz w:val="20"/>
        </w:rPr>
        <w:t xml:space="preserve"> </w:t>
      </w:r>
      <w:r>
        <w:rPr>
          <w:sz w:val="20"/>
        </w:rPr>
        <w:t xml:space="preserve"> </w:t>
      </w:r>
      <w:r w:rsidR="00BA5885">
        <w:rPr>
          <w:sz w:val="20"/>
        </w:rPr>
        <w:t xml:space="preserve">   </w:t>
      </w:r>
      <w:r w:rsidR="00494938">
        <w:rPr>
          <w:sz w:val="20"/>
        </w:rPr>
        <w:t xml:space="preserve">    </w:t>
      </w:r>
      <w:r w:rsidR="00BA5885">
        <w:rPr>
          <w:sz w:val="20"/>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741791" w:rsidRDefault="00BA5885" w:rsidP="00051F10">
      <w:pPr>
        <w:pStyle w:val="BodyText2"/>
        <w:numPr>
          <w:ilvl w:val="0"/>
          <w:numId w:val="4"/>
        </w:numPr>
        <w:rPr>
          <w:sz w:val="20"/>
        </w:rPr>
      </w:pPr>
      <w:r>
        <w:rPr>
          <w:sz w:val="20"/>
        </w:rPr>
        <w:t>Examples &amp; Impacts of Probl</w:t>
      </w:r>
      <w:r w:rsidR="00051F10">
        <w:rPr>
          <w:sz w:val="20"/>
        </w:rPr>
        <w:t>em/Issue:</w:t>
      </w:r>
    </w:p>
    <w:tbl>
      <w:tblPr>
        <w:tblW w:w="9240" w:type="dxa"/>
        <w:tblInd w:w="113" w:type="dxa"/>
        <w:tblLook w:val="04A0" w:firstRow="1" w:lastRow="0" w:firstColumn="1" w:lastColumn="0" w:noHBand="0" w:noVBand="1"/>
      </w:tblPr>
      <w:tblGrid>
        <w:gridCol w:w="9466"/>
        <w:gridCol w:w="222"/>
      </w:tblGrid>
      <w:tr w:rsidR="0022633C" w:rsidRPr="0022633C" w:rsidTr="00C31572">
        <w:trPr>
          <w:trHeight w:val="855"/>
        </w:trPr>
        <w:tc>
          <w:tcPr>
            <w:tcW w:w="3920" w:type="dxa"/>
            <w:tcBorders>
              <w:top w:val="single" w:sz="4" w:space="0" w:color="auto"/>
              <w:left w:val="single" w:sz="4" w:space="0" w:color="auto"/>
              <w:bottom w:val="single" w:sz="4" w:space="0" w:color="auto"/>
              <w:right w:val="single" w:sz="4" w:space="0" w:color="auto"/>
            </w:tcBorders>
            <w:shd w:val="clear" w:color="000000" w:fill="C5D9F1"/>
            <w:vAlign w:val="center"/>
          </w:tcPr>
          <w:tbl>
            <w:tblPr>
              <w:tblW w:w="9240" w:type="dxa"/>
              <w:tblLook w:val="04A0" w:firstRow="1" w:lastRow="0" w:firstColumn="1" w:lastColumn="0" w:noHBand="0" w:noVBand="1"/>
            </w:tblPr>
            <w:tblGrid>
              <w:gridCol w:w="3920"/>
              <w:gridCol w:w="5320"/>
            </w:tblGrid>
            <w:tr w:rsidR="00C31572" w:rsidRPr="00C31572" w:rsidTr="00C31572">
              <w:trPr>
                <w:trHeight w:val="855"/>
              </w:trPr>
              <w:tc>
                <w:tcPr>
                  <w:tcW w:w="39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C31572" w:rsidRPr="00C31572" w:rsidRDefault="00C31572" w:rsidP="00C31572">
                  <w:pPr>
                    <w:jc w:val="center"/>
                    <w:rPr>
                      <w:rFonts w:ascii="Calibri" w:hAnsi="Calibri"/>
                      <w:b/>
                      <w:bCs/>
                      <w:color w:val="000000"/>
                      <w:sz w:val="24"/>
                      <w:szCs w:val="24"/>
                    </w:rPr>
                  </w:pPr>
                  <w:r w:rsidRPr="00C31572">
                    <w:rPr>
                      <w:rFonts w:ascii="Calibri" w:hAnsi="Calibri"/>
                      <w:b/>
                      <w:bCs/>
                      <w:color w:val="000000"/>
                      <w:sz w:val="24"/>
                      <w:szCs w:val="24"/>
                    </w:rPr>
                    <w:t>Observation</w:t>
                  </w:r>
                </w:p>
              </w:tc>
              <w:tc>
                <w:tcPr>
                  <w:tcW w:w="5320" w:type="dxa"/>
                  <w:tcBorders>
                    <w:top w:val="single" w:sz="4" w:space="0" w:color="auto"/>
                    <w:left w:val="nil"/>
                    <w:bottom w:val="single" w:sz="4" w:space="0" w:color="auto"/>
                    <w:right w:val="single" w:sz="4" w:space="0" w:color="auto"/>
                  </w:tcBorders>
                  <w:shd w:val="clear" w:color="000000" w:fill="C5D9F1"/>
                  <w:vAlign w:val="center"/>
                  <w:hideMark/>
                </w:tcPr>
                <w:p w:rsidR="00C31572" w:rsidRPr="00C31572" w:rsidRDefault="00C31572" w:rsidP="00C31572">
                  <w:pPr>
                    <w:jc w:val="center"/>
                    <w:rPr>
                      <w:rFonts w:ascii="Calibri" w:hAnsi="Calibri"/>
                      <w:b/>
                      <w:bCs/>
                      <w:color w:val="000000"/>
                      <w:sz w:val="24"/>
                      <w:szCs w:val="24"/>
                    </w:rPr>
                  </w:pPr>
                  <w:r w:rsidRPr="00C31572">
                    <w:rPr>
                      <w:rFonts w:ascii="Calibri" w:hAnsi="Calibri"/>
                      <w:b/>
                      <w:bCs/>
                      <w:color w:val="000000"/>
                      <w:sz w:val="24"/>
                      <w:szCs w:val="24"/>
                    </w:rPr>
                    <w:t>Specification / Requirement</w:t>
                  </w:r>
                </w:p>
              </w:tc>
            </w:tr>
          </w:tbl>
          <w:p w:rsidR="0022633C" w:rsidRPr="0022633C" w:rsidRDefault="0022633C" w:rsidP="0022633C">
            <w:pPr>
              <w:jc w:val="center"/>
              <w:rPr>
                <w:rFonts w:ascii="Calibri" w:hAnsi="Calibri"/>
                <w:b/>
                <w:bCs/>
                <w:color w:val="000000"/>
                <w:sz w:val="24"/>
                <w:szCs w:val="24"/>
              </w:rPr>
            </w:pPr>
          </w:p>
        </w:tc>
        <w:tc>
          <w:tcPr>
            <w:tcW w:w="5320" w:type="dxa"/>
            <w:tcBorders>
              <w:top w:val="single" w:sz="4" w:space="0" w:color="auto"/>
              <w:left w:val="nil"/>
              <w:bottom w:val="single" w:sz="4" w:space="0" w:color="auto"/>
              <w:right w:val="single" w:sz="4" w:space="0" w:color="auto"/>
            </w:tcBorders>
            <w:shd w:val="clear" w:color="000000" w:fill="C5D9F1"/>
            <w:vAlign w:val="center"/>
          </w:tcPr>
          <w:p w:rsidR="0022633C" w:rsidRPr="0022633C" w:rsidRDefault="0022633C" w:rsidP="0022633C">
            <w:pPr>
              <w:jc w:val="center"/>
              <w:rPr>
                <w:rFonts w:ascii="Calibri" w:hAnsi="Calibri"/>
                <w:b/>
                <w:bCs/>
                <w:color w:val="000000"/>
                <w:sz w:val="24"/>
                <w:szCs w:val="24"/>
              </w:rPr>
            </w:pPr>
          </w:p>
        </w:tc>
      </w:tr>
      <w:tr w:rsidR="0022633C" w:rsidRPr="0022633C" w:rsidTr="00AE22AF">
        <w:trPr>
          <w:trHeight w:val="2060"/>
        </w:trPr>
        <w:tc>
          <w:tcPr>
            <w:tcW w:w="3920" w:type="dxa"/>
            <w:tcBorders>
              <w:top w:val="nil"/>
              <w:left w:val="single" w:sz="4" w:space="0" w:color="auto"/>
              <w:bottom w:val="single" w:sz="4" w:space="0" w:color="auto"/>
              <w:right w:val="single" w:sz="4" w:space="0" w:color="auto"/>
            </w:tcBorders>
            <w:shd w:val="clear" w:color="auto" w:fill="auto"/>
            <w:vAlign w:val="center"/>
          </w:tcPr>
          <w:tbl>
            <w:tblPr>
              <w:tblW w:w="9240" w:type="dxa"/>
              <w:tblLook w:val="04A0" w:firstRow="1" w:lastRow="0" w:firstColumn="1" w:lastColumn="0" w:noHBand="0" w:noVBand="1"/>
            </w:tblPr>
            <w:tblGrid>
              <w:gridCol w:w="3920"/>
              <w:gridCol w:w="5320"/>
            </w:tblGrid>
            <w:tr w:rsidR="00A34F05" w:rsidRPr="00C31572" w:rsidTr="00AE22AF">
              <w:trPr>
                <w:trHeight w:val="1790"/>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F05" w:rsidRDefault="00A34F05" w:rsidP="00A34F05">
                  <w:pPr>
                    <w:rPr>
                      <w:rFonts w:ascii="Calibri" w:hAnsi="Calibri"/>
                      <w:color w:val="000000"/>
                      <w:sz w:val="22"/>
                      <w:szCs w:val="22"/>
                    </w:rPr>
                  </w:pPr>
                  <w:r>
                    <w:rPr>
                      <w:rFonts w:ascii="Calibri" w:hAnsi="Calibri"/>
                      <w:color w:val="000000"/>
                      <w:sz w:val="22"/>
                      <w:szCs w:val="22"/>
                    </w:rPr>
                    <w:t xml:space="preserve">DPC/SSN values included in PTO SV Create </w:t>
                  </w:r>
                  <w:r w:rsidR="00494938">
                    <w:rPr>
                      <w:rFonts w:ascii="Calibri" w:hAnsi="Calibri"/>
                      <w:color w:val="000000"/>
                      <w:sz w:val="22"/>
                      <w:szCs w:val="22"/>
                    </w:rPr>
                    <w:t>message all set to “No Value Needed”, which are prohibited as identified in the requirements.  It is anticipated that any prohibited attribute (including other “XML Optional Data” attributes</w:t>
                  </w:r>
                  <w:r w:rsidR="00FB5B72">
                    <w:rPr>
                      <w:rFonts w:ascii="Calibri" w:hAnsi="Calibri"/>
                      <w:color w:val="000000"/>
                      <w:sz w:val="22"/>
                      <w:szCs w:val="22"/>
                    </w:rPr>
                    <w:t>)</w:t>
                  </w:r>
                  <w:r w:rsidR="00494938">
                    <w:rPr>
                      <w:rFonts w:ascii="Calibri" w:hAnsi="Calibri"/>
                      <w:color w:val="000000"/>
                      <w:sz w:val="22"/>
                      <w:szCs w:val="22"/>
                    </w:rPr>
                    <w:t xml:space="preserve"> that can be set to a null or “no value needed” value could be sent in this PTO SV Create message</w:t>
                  </w:r>
                  <w:r w:rsidR="00FB5B72">
                    <w:rPr>
                      <w:rFonts w:ascii="Calibri" w:hAnsi="Calibri"/>
                      <w:color w:val="000000"/>
                      <w:sz w:val="22"/>
                      <w:szCs w:val="22"/>
                    </w:rPr>
                    <w:t xml:space="preserve"> with a null or “no value needed” value</w:t>
                  </w:r>
                  <w:r w:rsidR="00494938">
                    <w:rPr>
                      <w:rFonts w:ascii="Calibri" w:hAnsi="Calibri"/>
                      <w:color w:val="000000"/>
                      <w:sz w:val="22"/>
                      <w:szCs w:val="22"/>
                    </w:rPr>
                    <w:t>.</w:t>
                  </w:r>
                </w:p>
              </w:tc>
              <w:tc>
                <w:tcPr>
                  <w:tcW w:w="5320" w:type="dxa"/>
                  <w:tcBorders>
                    <w:top w:val="single" w:sz="4" w:space="0" w:color="auto"/>
                    <w:left w:val="nil"/>
                    <w:bottom w:val="single" w:sz="4" w:space="0" w:color="auto"/>
                    <w:right w:val="single" w:sz="4" w:space="0" w:color="auto"/>
                  </w:tcBorders>
                  <w:shd w:val="clear" w:color="auto" w:fill="auto"/>
                  <w:hideMark/>
                </w:tcPr>
                <w:p w:rsidR="00A34F05" w:rsidRDefault="00A34F05" w:rsidP="00A34F05">
                  <w:pPr>
                    <w:rPr>
                      <w:rFonts w:ascii="Calibri" w:hAnsi="Calibri"/>
                      <w:color w:val="000000"/>
                      <w:sz w:val="22"/>
                      <w:szCs w:val="22"/>
                    </w:rPr>
                  </w:pPr>
                  <w:r>
                    <w:rPr>
                      <w:rFonts w:ascii="Calibri" w:hAnsi="Calibri"/>
                      <w:color w:val="000000"/>
                      <w:sz w:val="22"/>
                      <w:szCs w:val="22"/>
                    </w:rPr>
                    <w:t xml:space="preserve">Violates FRS requirements: </w:t>
                  </w:r>
                  <w:r>
                    <w:rPr>
                      <w:rFonts w:ascii="Calibri" w:hAnsi="Calibri"/>
                      <w:color w:val="000000"/>
                      <w:sz w:val="22"/>
                      <w:szCs w:val="22"/>
                    </w:rPr>
                    <w:br/>
                  </w:r>
                  <w:r>
                    <w:rPr>
                      <w:rFonts w:ascii="Calibri" w:hAnsi="Calibri"/>
                      <w:b/>
                      <w:bCs/>
                      <w:color w:val="000000"/>
                      <w:sz w:val="22"/>
                      <w:szCs w:val="22"/>
                    </w:rPr>
                    <w:t>RR5-179</w:t>
                  </w:r>
                  <w:r>
                    <w:rPr>
                      <w:rFonts w:ascii="Calibri" w:hAnsi="Calibri"/>
                      <w:color w:val="000000"/>
                      <w:sz w:val="22"/>
                      <w:szCs w:val="22"/>
                    </w:rPr>
                    <w:t xml:space="preserve"> Create Inter-Service Provider PTO Subscription Version - New Service Provider Data Attributes – Rejected </w:t>
                  </w:r>
                  <w:r>
                    <w:rPr>
                      <w:rFonts w:ascii="Calibri" w:hAnsi="Calibri"/>
                      <w:color w:val="000000"/>
                      <w:sz w:val="22"/>
                      <w:szCs w:val="22"/>
                    </w:rPr>
                    <w:br/>
                    <w:t xml:space="preserve">NPAC SMS shall reject an Inter-Service Provider Create Request that includes the following data attributes from NPAC personnel or the new Service Provider, when the Porting to Original flag is set to True: (reference NANC 399) </w:t>
                  </w:r>
                  <w:r>
                    <w:rPr>
                      <w:rFonts w:ascii="Calibri" w:hAnsi="Calibri"/>
                      <w:color w:val="000000"/>
                      <w:sz w:val="22"/>
                      <w:szCs w:val="22"/>
                    </w:rPr>
                    <w:br/>
                    <w:t xml:space="preserve">• LRN </w:t>
                  </w:r>
                  <w:r>
                    <w:rPr>
                      <w:rFonts w:ascii="Calibri" w:hAnsi="Calibri"/>
                      <w:color w:val="000000"/>
                      <w:sz w:val="22"/>
                      <w:szCs w:val="22"/>
                    </w:rPr>
                    <w:br/>
                    <w:t xml:space="preserve">• Class DPC </w:t>
                  </w:r>
                  <w:r>
                    <w:rPr>
                      <w:rFonts w:ascii="Calibri" w:hAnsi="Calibri"/>
                      <w:color w:val="000000"/>
                      <w:sz w:val="22"/>
                      <w:szCs w:val="22"/>
                    </w:rPr>
                    <w:br/>
                    <w:t xml:space="preserve">• Class SSN </w:t>
                  </w:r>
                  <w:r>
                    <w:rPr>
                      <w:rFonts w:ascii="Calibri" w:hAnsi="Calibri"/>
                      <w:color w:val="000000"/>
                      <w:sz w:val="22"/>
                      <w:szCs w:val="22"/>
                    </w:rPr>
                    <w:br/>
                    <w:t xml:space="preserve">• LIDB DPC </w:t>
                  </w:r>
                  <w:r>
                    <w:rPr>
                      <w:rFonts w:ascii="Calibri" w:hAnsi="Calibri"/>
                      <w:color w:val="000000"/>
                      <w:sz w:val="22"/>
                      <w:szCs w:val="22"/>
                    </w:rPr>
                    <w:br/>
                    <w:t xml:space="preserve">• LIDB SSN </w:t>
                  </w:r>
                  <w:r>
                    <w:rPr>
                      <w:rFonts w:ascii="Calibri" w:hAnsi="Calibri"/>
                      <w:color w:val="000000"/>
                      <w:sz w:val="22"/>
                      <w:szCs w:val="22"/>
                    </w:rPr>
                    <w:br/>
                    <w:t xml:space="preserve">• CNAM DPC </w:t>
                  </w:r>
                  <w:r>
                    <w:rPr>
                      <w:rFonts w:ascii="Calibri" w:hAnsi="Calibri"/>
                      <w:color w:val="000000"/>
                      <w:sz w:val="22"/>
                      <w:szCs w:val="22"/>
                    </w:rPr>
                    <w:br/>
                    <w:t xml:space="preserve">• CNAM SSN </w:t>
                  </w:r>
                  <w:r>
                    <w:rPr>
                      <w:rFonts w:ascii="Calibri" w:hAnsi="Calibri"/>
                      <w:color w:val="000000"/>
                      <w:sz w:val="22"/>
                      <w:szCs w:val="22"/>
                    </w:rPr>
                    <w:br/>
                    <w:t xml:space="preserve">• ISVM DPC </w:t>
                  </w:r>
                  <w:r>
                    <w:rPr>
                      <w:rFonts w:ascii="Calibri" w:hAnsi="Calibri"/>
                      <w:color w:val="000000"/>
                      <w:sz w:val="22"/>
                      <w:szCs w:val="22"/>
                    </w:rPr>
                    <w:br/>
                    <w:t xml:space="preserve">• ISVM SSN </w:t>
                  </w:r>
                  <w:r>
                    <w:rPr>
                      <w:rFonts w:ascii="Calibri" w:hAnsi="Calibri"/>
                      <w:color w:val="000000"/>
                      <w:sz w:val="22"/>
                      <w:szCs w:val="22"/>
                    </w:rPr>
                    <w:br/>
                    <w:t xml:space="preserve">• WSMSC DPC (if supported by the Service Provider SOA) </w:t>
                  </w:r>
                  <w:r>
                    <w:rPr>
                      <w:rFonts w:ascii="Calibri" w:hAnsi="Calibri"/>
                      <w:color w:val="000000"/>
                      <w:sz w:val="22"/>
                      <w:szCs w:val="22"/>
                    </w:rPr>
                    <w:br/>
                    <w:t xml:space="preserve">• WSMSC SSN (if supported by the Service Provider SOA) </w:t>
                  </w:r>
                  <w:r>
                    <w:rPr>
                      <w:rFonts w:ascii="Calibri" w:hAnsi="Calibri"/>
                      <w:color w:val="000000"/>
                      <w:sz w:val="22"/>
                      <w:szCs w:val="22"/>
                    </w:rPr>
                    <w:br/>
                  </w:r>
                  <w:r>
                    <w:rPr>
                      <w:rFonts w:ascii="Calibri" w:hAnsi="Calibri"/>
                      <w:color w:val="000000"/>
                      <w:sz w:val="22"/>
                      <w:szCs w:val="22"/>
                    </w:rPr>
                    <w:lastRenderedPageBreak/>
                    <w:t xml:space="preserve">• Porting to Original </w:t>
                  </w:r>
                  <w:r>
                    <w:rPr>
                      <w:rFonts w:ascii="Calibri" w:hAnsi="Calibri"/>
                      <w:color w:val="000000"/>
                      <w:sz w:val="22"/>
                      <w:szCs w:val="22"/>
                    </w:rPr>
                    <w:br/>
                    <w:t xml:space="preserve">• Billing Service Provider ID </w:t>
                  </w:r>
                  <w:r>
                    <w:rPr>
                      <w:rFonts w:ascii="Calibri" w:hAnsi="Calibri"/>
                      <w:color w:val="000000"/>
                      <w:sz w:val="22"/>
                      <w:szCs w:val="22"/>
                    </w:rPr>
                    <w:br/>
                    <w:t xml:space="preserve">• End-User Location - Value </w:t>
                  </w:r>
                  <w:r>
                    <w:rPr>
                      <w:rFonts w:ascii="Calibri" w:hAnsi="Calibri"/>
                      <w:color w:val="000000"/>
                      <w:sz w:val="22"/>
                      <w:szCs w:val="22"/>
                    </w:rPr>
                    <w:br/>
                    <w:t xml:space="preserve">• End-User Location - Type </w:t>
                  </w:r>
                  <w:r>
                    <w:rPr>
                      <w:rFonts w:ascii="Calibri" w:hAnsi="Calibri"/>
                      <w:color w:val="000000"/>
                      <w:sz w:val="22"/>
                      <w:szCs w:val="22"/>
                    </w:rPr>
                    <w:br/>
                    <w:t xml:space="preserve">• SV Type </w:t>
                  </w:r>
                  <w:r>
                    <w:rPr>
                      <w:rFonts w:ascii="Calibri" w:hAnsi="Calibri"/>
                      <w:color w:val="000000"/>
                      <w:sz w:val="22"/>
                      <w:szCs w:val="22"/>
                    </w:rPr>
                    <w:br/>
                    <w:t xml:space="preserve">• Alternative SPID </w:t>
                  </w:r>
                </w:p>
              </w:tc>
            </w:tr>
          </w:tbl>
          <w:p w:rsidR="0022633C" w:rsidRPr="0022633C" w:rsidRDefault="0022633C" w:rsidP="0022633C">
            <w:pPr>
              <w:rPr>
                <w:rFonts w:ascii="Calibri" w:hAnsi="Calibri"/>
                <w:color w:val="000000"/>
                <w:sz w:val="22"/>
                <w:szCs w:val="22"/>
              </w:rPr>
            </w:pPr>
          </w:p>
        </w:tc>
        <w:tc>
          <w:tcPr>
            <w:tcW w:w="5320" w:type="dxa"/>
            <w:tcBorders>
              <w:top w:val="nil"/>
              <w:left w:val="nil"/>
              <w:bottom w:val="single" w:sz="4" w:space="0" w:color="auto"/>
              <w:right w:val="single" w:sz="4" w:space="0" w:color="auto"/>
            </w:tcBorders>
            <w:shd w:val="clear" w:color="auto" w:fill="auto"/>
          </w:tcPr>
          <w:p w:rsidR="0022633C" w:rsidRPr="0022633C" w:rsidRDefault="0022633C" w:rsidP="0022633C">
            <w:pPr>
              <w:rPr>
                <w:rFonts w:ascii="Calibri" w:hAnsi="Calibri"/>
                <w:color w:val="000000"/>
                <w:sz w:val="22"/>
                <w:szCs w:val="22"/>
              </w:rPr>
            </w:pPr>
          </w:p>
        </w:tc>
      </w:tr>
    </w:tbl>
    <w:p w:rsidR="00BA5885" w:rsidRDefault="00BA5885">
      <w:pPr>
        <w:rPr>
          <w:sz w:val="24"/>
        </w:rPr>
      </w:pPr>
    </w:p>
    <w:p w:rsidR="0022633C" w:rsidRDefault="0022633C">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2372F4">
      <w:pPr>
        <w:pStyle w:val="BodyText3"/>
      </w:pPr>
      <w:r w:rsidRPr="002372F4">
        <w:rPr>
          <w:rFonts w:ascii="Calibri" w:hAnsi="Calibri" w:cs="Calibri"/>
          <w:sz w:val="22"/>
          <w:szCs w:val="22"/>
        </w:rPr>
        <w:t>Local System should identify the impact of functionality not being supported.  If not conforming to industry specifications, local system should provide support for the nonconformance.  If undocumented or misinterpreted functionality is required by the Industry, the appropriate Industry Specifications will need to be updated to reflect the required functionality and the change order once accepted should be forwarded to the NAPM LLC for the purpose of requesting a Statement of Work (SOW) from iconectiv</w:t>
      </w:r>
      <w:r w:rsidR="002216F4">
        <w:t>.</w:t>
      </w:r>
    </w:p>
    <w:p w:rsidR="009B4FFB" w:rsidRDefault="009B4FFB">
      <w:pPr>
        <w:rPr>
          <w:sz w:val="24"/>
        </w:rPr>
      </w:pPr>
    </w:p>
    <w:p w:rsidR="00741791" w:rsidRPr="00EE728F" w:rsidRDefault="00741791" w:rsidP="00741791">
      <w:pPr>
        <w:numPr>
          <w:ilvl w:val="0"/>
          <w:numId w:val="2"/>
        </w:numPr>
        <w:rPr>
          <w:sz w:val="24"/>
        </w:rPr>
      </w:pPr>
      <w:r w:rsidRPr="00EE728F">
        <w:rPr>
          <w:b/>
          <w:sz w:val="24"/>
        </w:rPr>
        <w:t>Final Resolution:</w:t>
      </w:r>
    </w:p>
    <w:p w:rsidR="00741791" w:rsidRPr="00EE728F" w:rsidRDefault="00741791" w:rsidP="00741791">
      <w:pPr>
        <w:ind w:left="360"/>
        <w:rPr>
          <w:sz w:val="24"/>
        </w:rPr>
      </w:pPr>
    </w:p>
    <w:p w:rsidR="00741791" w:rsidRPr="00EE728F" w:rsidRDefault="00741791" w:rsidP="00741791">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9B4FFB" w:rsidRDefault="009B4FFB">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lastRenderedPageBreak/>
        <w:t>LNPA WG:</w:t>
      </w:r>
      <w:r>
        <w:rPr>
          <w:sz w:val="24"/>
        </w:rPr>
        <w:t xml:space="preserve"> (only)</w:t>
      </w:r>
      <w:r w:rsidR="003A540E">
        <w:rPr>
          <w:sz w:val="24"/>
        </w:rPr>
        <w:tab/>
      </w:r>
      <w:r w:rsidR="003A540E">
        <w:rPr>
          <w:sz w:val="24"/>
        </w:rPr>
        <w:tab/>
      </w:r>
      <w:r w:rsidR="003A540E">
        <w:rPr>
          <w:sz w:val="24"/>
        </w:rPr>
        <w:tab/>
      </w:r>
      <w:r w:rsidR="003A540E">
        <w:rPr>
          <w:sz w:val="24"/>
        </w:rPr>
        <w:tab/>
        <w:t>Final Resolution Date: 6/5/18</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927539">
        <w:rPr>
          <w:sz w:val="24"/>
        </w:rPr>
        <w:t xml:space="preserve">PIM </w:t>
      </w:r>
      <w:r w:rsidR="00A029B7">
        <w:rPr>
          <w:sz w:val="24"/>
        </w:rPr>
        <w:t>093</w:t>
      </w:r>
      <w:r>
        <w:rPr>
          <w:sz w:val="24"/>
        </w:rPr>
        <w:tab/>
      </w:r>
      <w:r w:rsidR="00741791">
        <w:rPr>
          <w:sz w:val="24"/>
        </w:rPr>
        <w:tab/>
      </w:r>
      <w:r w:rsidR="00741791">
        <w:rPr>
          <w:sz w:val="24"/>
        </w:rPr>
        <w:tab/>
        <w:t>Related Documents: NANC 501</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bookmarkStart w:id="0" w:name="_GoBack"/>
      <w:bookmarkEnd w:id="0"/>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75" w:rsidRDefault="00770D75">
      <w:r>
        <w:separator/>
      </w:r>
    </w:p>
  </w:endnote>
  <w:endnote w:type="continuationSeparator" w:id="0">
    <w:p w:rsidR="00770D75" w:rsidRDefault="0077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40E">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75" w:rsidRDefault="00770D75">
      <w:r>
        <w:separator/>
      </w:r>
    </w:p>
  </w:footnote>
  <w:footnote w:type="continuationSeparator" w:id="0">
    <w:p w:rsidR="00770D75" w:rsidRDefault="0077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12483A"/>
    <w:rsid w:val="0013064C"/>
    <w:rsid w:val="00181F08"/>
    <w:rsid w:val="002216F4"/>
    <w:rsid w:val="0022633C"/>
    <w:rsid w:val="00231E87"/>
    <w:rsid w:val="002372F4"/>
    <w:rsid w:val="00300721"/>
    <w:rsid w:val="00354256"/>
    <w:rsid w:val="003A540E"/>
    <w:rsid w:val="00494938"/>
    <w:rsid w:val="005108AC"/>
    <w:rsid w:val="005962E4"/>
    <w:rsid w:val="00643784"/>
    <w:rsid w:val="0069729D"/>
    <w:rsid w:val="006B073E"/>
    <w:rsid w:val="007176D8"/>
    <w:rsid w:val="00741791"/>
    <w:rsid w:val="00770D75"/>
    <w:rsid w:val="00927539"/>
    <w:rsid w:val="00965864"/>
    <w:rsid w:val="009B4FFB"/>
    <w:rsid w:val="00A029B7"/>
    <w:rsid w:val="00A34F05"/>
    <w:rsid w:val="00AE22AF"/>
    <w:rsid w:val="00B50D96"/>
    <w:rsid w:val="00BA5885"/>
    <w:rsid w:val="00BD0519"/>
    <w:rsid w:val="00C31572"/>
    <w:rsid w:val="00D45AC1"/>
    <w:rsid w:val="00E266CF"/>
    <w:rsid w:val="00E37E3C"/>
    <w:rsid w:val="00F22178"/>
    <w:rsid w:val="00F24853"/>
    <w:rsid w:val="00F60857"/>
    <w:rsid w:val="00FB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B6217"/>
  <w15:chartTrackingRefBased/>
  <w15:docId w15:val="{39135507-9354-41B0-90B8-E2E7FD8A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13064C"/>
    <w:rPr>
      <w:rFonts w:ascii="Tahoma" w:hAnsi="Tahoma" w:cs="Tahoma"/>
      <w:sz w:val="16"/>
      <w:szCs w:val="16"/>
    </w:rPr>
  </w:style>
  <w:style w:type="character" w:customStyle="1" w:styleId="BalloonTextChar">
    <w:name w:val="Balloon Text Char"/>
    <w:link w:val="BalloonText"/>
    <w:uiPriority w:val="99"/>
    <w:semiHidden/>
    <w:rsid w:val="00130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4049">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 w:id="1415009143">
      <w:bodyDiv w:val="1"/>
      <w:marLeft w:val="0"/>
      <w:marRight w:val="0"/>
      <w:marTop w:val="0"/>
      <w:marBottom w:val="0"/>
      <w:divBdr>
        <w:top w:val="none" w:sz="0" w:space="0" w:color="auto"/>
        <w:left w:val="none" w:sz="0" w:space="0" w:color="auto"/>
        <w:bottom w:val="none" w:sz="0" w:space="0" w:color="auto"/>
        <w:right w:val="none" w:sz="0" w:space="0" w:color="auto"/>
      </w:divBdr>
    </w:div>
    <w:div w:id="19141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4316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3</cp:revision>
  <cp:lastPrinted>1999-05-19T19:58:00Z</cp:lastPrinted>
  <dcterms:created xsi:type="dcterms:W3CDTF">2019-03-18T13:20:00Z</dcterms:created>
  <dcterms:modified xsi:type="dcterms:W3CDTF">2019-05-28T15:23:00Z</dcterms:modified>
</cp:coreProperties>
</file>