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4608A1">
        <w:rPr>
          <w:sz w:val="24"/>
        </w:rPr>
        <w:t>07/05/2018</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 xml:space="preserve">Company(s) Submitting </w:t>
      </w:r>
      <w:proofErr w:type="spellStart"/>
      <w:r>
        <w:rPr>
          <w:b/>
          <w:sz w:val="24"/>
        </w:rPr>
        <w:t>Issue</w:t>
      </w:r>
      <w:proofErr w:type="gramStart"/>
      <w:r>
        <w:rPr>
          <w:sz w:val="24"/>
        </w:rPr>
        <w:t>:_</w:t>
      </w:r>
      <w:proofErr w:type="gramEnd"/>
      <w:r w:rsidR="004608A1">
        <w:rPr>
          <w:sz w:val="24"/>
          <w:u w:val="single"/>
        </w:rPr>
        <w:t>iconectiv</w:t>
      </w:r>
      <w:proofErr w:type="spellEnd"/>
      <w:r w:rsidR="004608A1">
        <w:rPr>
          <w:sz w:val="24"/>
          <w:u w:val="single"/>
        </w:rPr>
        <w:t xml:space="preserve"> (LNPA)</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Pr="00CE2D06">
        <w:rPr>
          <w:sz w:val="24"/>
          <w:u w:val="single"/>
        </w:rPr>
        <w:t>George Tsacnaris</w:t>
      </w:r>
      <w:r>
        <w:rPr>
          <w:sz w:val="24"/>
        </w:rPr>
        <w:t>_</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Pr>
          <w:sz w:val="24"/>
          <w:u w:val="single"/>
        </w:rPr>
        <w:t>7</w:t>
      </w:r>
      <w:r>
        <w:rPr>
          <w:sz w:val="24"/>
        </w:rPr>
        <w:t xml:space="preserve"> </w:t>
      </w:r>
      <w:r>
        <w:rPr>
          <w:sz w:val="24"/>
          <w:u w:val="single"/>
        </w:rPr>
        <w:t>3</w:t>
      </w:r>
      <w:r>
        <w:rPr>
          <w:sz w:val="24"/>
        </w:rPr>
        <w:t xml:space="preserve"> </w:t>
      </w:r>
      <w:r>
        <w:rPr>
          <w:sz w:val="24"/>
          <w:u w:val="single"/>
        </w:rPr>
        <w:t xml:space="preserve">2 </w:t>
      </w:r>
      <w:r>
        <w:rPr>
          <w:sz w:val="24"/>
        </w:rPr>
        <w:t>/</w:t>
      </w:r>
      <w:r>
        <w:rPr>
          <w:sz w:val="24"/>
          <w:u w:val="single"/>
        </w:rPr>
        <w:t>6</w:t>
      </w:r>
      <w:r>
        <w:rPr>
          <w:sz w:val="24"/>
        </w:rPr>
        <w:t xml:space="preserve"> </w:t>
      </w:r>
      <w:r>
        <w:rPr>
          <w:sz w:val="24"/>
          <w:u w:val="single"/>
        </w:rPr>
        <w:t>9</w:t>
      </w:r>
      <w:r>
        <w:rPr>
          <w:sz w:val="24"/>
        </w:rPr>
        <w:t xml:space="preserve"> </w:t>
      </w:r>
      <w:r>
        <w:rPr>
          <w:sz w:val="24"/>
          <w:u w:val="single"/>
        </w:rPr>
        <w:t>9</w:t>
      </w:r>
      <w:r>
        <w:rPr>
          <w:sz w:val="24"/>
        </w:rPr>
        <w:t xml:space="preserve"> /</w:t>
      </w:r>
      <w:r>
        <w:rPr>
          <w:sz w:val="24"/>
          <w:u w:val="single"/>
        </w:rPr>
        <w:t>7</w:t>
      </w:r>
      <w:r>
        <w:rPr>
          <w:sz w:val="24"/>
        </w:rPr>
        <w:t xml:space="preserve"> </w:t>
      </w:r>
      <w:r>
        <w:rPr>
          <w:sz w:val="24"/>
          <w:u w:val="single"/>
        </w:rPr>
        <w:t>6</w:t>
      </w:r>
      <w:r>
        <w:rPr>
          <w:sz w:val="24"/>
        </w:rPr>
        <w:t xml:space="preserve"> </w:t>
      </w:r>
      <w:r>
        <w:rPr>
          <w:sz w:val="24"/>
          <w:u w:val="single"/>
        </w:rPr>
        <w:t>2</w:t>
      </w:r>
      <w:r>
        <w:rPr>
          <w:sz w:val="24"/>
        </w:rPr>
        <w:t xml:space="preserve"> </w:t>
      </w:r>
      <w:r>
        <w:rPr>
          <w:sz w:val="24"/>
          <w:u w:val="single"/>
        </w:rPr>
        <w:t>7</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Pr>
          <w:sz w:val="24"/>
          <w:u w:val="single"/>
        </w:rPr>
        <w:t>gtsacnaris@iconectiv.com</w:t>
      </w:r>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281F67" w:rsidRDefault="00281F67">
      <w:pPr>
        <w:rPr>
          <w:sz w:val="24"/>
          <w:u w:val="single"/>
        </w:rPr>
      </w:pPr>
    </w:p>
    <w:p w:rsidR="00281F67" w:rsidRDefault="00281F67">
      <w:pPr>
        <w:numPr>
          <w:ilvl w:val="0"/>
          <w:numId w:val="3"/>
        </w:numPr>
        <w:rPr>
          <w:sz w:val="16"/>
        </w:rPr>
      </w:pPr>
      <w:r>
        <w:rPr>
          <w:b/>
          <w:sz w:val="24"/>
        </w:rPr>
        <w:t>Problem/Issue Statement:</w:t>
      </w:r>
      <w:r>
        <w:rPr>
          <w:sz w:val="24"/>
        </w:rPr>
        <w:t xml:space="preserve"> </w:t>
      </w:r>
      <w:r>
        <w:rPr>
          <w:sz w:val="16"/>
        </w:rPr>
        <w:t>(Brief statement outlining the problem/issue.)</w:t>
      </w:r>
    </w:p>
    <w:p w:rsidR="00281F67" w:rsidRDefault="00281F67">
      <w:pPr>
        <w:rPr>
          <w:sz w:val="24"/>
        </w:rPr>
      </w:pPr>
    </w:p>
    <w:p w:rsidR="00281F67" w:rsidRDefault="00C141A7">
      <w:pPr>
        <w:pStyle w:val="BodyText2"/>
        <w:rPr>
          <w:sz w:val="20"/>
        </w:rPr>
      </w:pPr>
      <w:r w:rsidRPr="00B26708">
        <w:rPr>
          <w:sz w:val="20"/>
        </w:rPr>
        <w:t xml:space="preserve">One function of the LNPA is to assign SPIDs (NPAC Customer ID) and Names for approved applicants to NPAC. </w:t>
      </w:r>
      <w:r w:rsidR="005A61A9" w:rsidRPr="00B26708">
        <w:rPr>
          <w:sz w:val="20"/>
        </w:rPr>
        <w:t>During the transition, iconectiv presented its SPID Naming methodology.</w:t>
      </w:r>
      <w:r w:rsidR="00D84164">
        <w:rPr>
          <w:sz w:val="20"/>
        </w:rPr>
        <w:t xml:space="preserve"> No such defined methodology has existed in the past. For future clarification, LNPA TOSC members</w:t>
      </w:r>
      <w:r w:rsidR="005A61A9" w:rsidRPr="00B26708">
        <w:rPr>
          <w:sz w:val="20"/>
        </w:rPr>
        <w:t xml:space="preserve"> suggested to have certain specifications </w:t>
      </w:r>
      <w:r w:rsidR="007150F7">
        <w:rPr>
          <w:sz w:val="20"/>
        </w:rPr>
        <w:t xml:space="preserve">regarding the assignment of Names </w:t>
      </w:r>
      <w:r w:rsidR="005A61A9" w:rsidRPr="00B26708">
        <w:rPr>
          <w:sz w:val="20"/>
        </w:rPr>
        <w:t>put in place.</w:t>
      </w:r>
      <w:r w:rsidR="00281F67" w:rsidRPr="00B26708">
        <w:rPr>
          <w:sz w:val="20"/>
        </w:rPr>
        <w:t xml:space="preserve"> </w:t>
      </w:r>
    </w:p>
    <w:p w:rsidR="00ED6303" w:rsidRDefault="00ED6303" w:rsidP="00ED6303">
      <w:pPr>
        <w:pStyle w:val="BodyText3"/>
      </w:pPr>
    </w:p>
    <w:p w:rsidR="00ED6303" w:rsidRPr="00B26708" w:rsidRDefault="00ED6303" w:rsidP="00ED6303">
      <w:pPr>
        <w:pStyle w:val="BodyText3"/>
      </w:pPr>
      <w:r w:rsidRPr="00B26708">
        <w:t>The FRS Data Model states that a User must have two things:</w:t>
      </w:r>
    </w:p>
    <w:p w:rsidR="00ED6303" w:rsidRPr="00B26708" w:rsidRDefault="00ED6303" w:rsidP="00ED6303">
      <w:pPr>
        <w:pStyle w:val="BodyText3"/>
      </w:pPr>
      <w:proofErr w:type="gramStart"/>
      <w:r w:rsidRPr="00B26708">
        <w:t>1. R4-6 An NPAC Customer ID</w:t>
      </w:r>
      <w:proofErr w:type="gramEnd"/>
      <w:r w:rsidRPr="00B26708">
        <w:t xml:space="preserve"> (4 characters): An alphanumeric code which uniquely identifies an NPAC Customer.</w:t>
      </w:r>
    </w:p>
    <w:p w:rsidR="00ED6303" w:rsidRPr="00B26708" w:rsidRDefault="00ED6303" w:rsidP="00ED6303">
      <w:pPr>
        <w:pStyle w:val="BodyText3"/>
      </w:pPr>
      <w:proofErr w:type="gramStart"/>
      <w:r w:rsidRPr="00B26708">
        <w:t>2. R4-8 A NPAC Customer Name</w:t>
      </w:r>
      <w:proofErr w:type="gramEnd"/>
      <w:r w:rsidRPr="00B26708">
        <w:t xml:space="preserve"> (40 characters): A unique NPAC Customer Name (including slash indicator, 38 +2)</w:t>
      </w:r>
    </w:p>
    <w:p w:rsidR="00281F67" w:rsidRDefault="00C141A7">
      <w:pPr>
        <w:rPr>
          <w:sz w:val="24"/>
        </w:rPr>
      </w:pPr>
      <w:r>
        <w:rPr>
          <w:sz w:val="24"/>
        </w:rPr>
        <w:t xml:space="preserve"> </w:t>
      </w: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281F67" w:rsidRDefault="00281F67">
      <w:pPr>
        <w:pStyle w:val="BodyText2"/>
        <w:rPr>
          <w:sz w:val="20"/>
        </w:rPr>
      </w:pPr>
      <w:r>
        <w:rPr>
          <w:sz w:val="20"/>
        </w:rPr>
        <w:t xml:space="preserve">A.   Examples &amp; Impacts of Problem/Issue: </w:t>
      </w:r>
    </w:p>
    <w:p w:rsidR="00BD4651" w:rsidRPr="00B26708" w:rsidRDefault="003A0FDF">
      <w:pPr>
        <w:pStyle w:val="BodyText2"/>
        <w:rPr>
          <w:sz w:val="20"/>
        </w:rPr>
      </w:pPr>
      <w:r>
        <w:rPr>
          <w:sz w:val="20"/>
        </w:rPr>
        <w:t>During transition, it has been observed that SPID names were inconsistent</w:t>
      </w:r>
      <w:r w:rsidR="008C5A62">
        <w:rPr>
          <w:sz w:val="20"/>
        </w:rPr>
        <w:t xml:space="preserve"> and incorrect</w:t>
      </w:r>
      <w:r w:rsidR="00B616D9" w:rsidRPr="00B26708">
        <w:rPr>
          <w:sz w:val="20"/>
        </w:rPr>
        <w:t xml:space="preserve">. </w:t>
      </w:r>
      <w:r w:rsidR="0097484E">
        <w:rPr>
          <w:sz w:val="20"/>
        </w:rPr>
        <w:t xml:space="preserve">Some </w:t>
      </w:r>
      <w:proofErr w:type="spellStart"/>
      <w:r w:rsidR="0097484E">
        <w:rPr>
          <w:sz w:val="20"/>
        </w:rPr>
        <w:t>c</w:t>
      </w:r>
      <w:r w:rsidR="00B616D9" w:rsidRPr="00B26708">
        <w:rPr>
          <w:sz w:val="20"/>
        </w:rPr>
        <w:t>lean up</w:t>
      </w:r>
      <w:proofErr w:type="spellEnd"/>
      <w:r w:rsidR="00B616D9" w:rsidRPr="00B26708">
        <w:rPr>
          <w:sz w:val="20"/>
        </w:rPr>
        <w:t xml:space="preserve"> has </w:t>
      </w:r>
      <w:r w:rsidR="0097484E">
        <w:rPr>
          <w:sz w:val="20"/>
        </w:rPr>
        <w:t xml:space="preserve">already </w:t>
      </w:r>
      <w:r w:rsidR="00B616D9" w:rsidRPr="00B26708">
        <w:rPr>
          <w:sz w:val="20"/>
        </w:rPr>
        <w:t>been done by iconectiv, specifically removing or adding Service Bureau acronyms to SPID Names</w:t>
      </w:r>
      <w:r>
        <w:rPr>
          <w:sz w:val="20"/>
        </w:rPr>
        <w:t>, to match their current configuration</w:t>
      </w:r>
      <w:r w:rsidR="00B616D9" w:rsidRPr="00B26708">
        <w:rPr>
          <w:sz w:val="20"/>
        </w:rPr>
        <w:t xml:space="preserve">. In order to make the </w:t>
      </w:r>
      <w:r>
        <w:rPr>
          <w:sz w:val="20"/>
        </w:rPr>
        <w:t xml:space="preserve">entire naming </w:t>
      </w:r>
      <w:r w:rsidR="00B616D9" w:rsidRPr="00B26708">
        <w:rPr>
          <w:sz w:val="20"/>
        </w:rPr>
        <w:t xml:space="preserve">process </w:t>
      </w:r>
      <w:r w:rsidR="00B26708">
        <w:rPr>
          <w:sz w:val="20"/>
        </w:rPr>
        <w:t>more transparent, requirement</w:t>
      </w:r>
      <w:r w:rsidR="00ED6303">
        <w:rPr>
          <w:sz w:val="20"/>
        </w:rPr>
        <w:t>s can</w:t>
      </w:r>
      <w:r w:rsidR="00B26708">
        <w:rPr>
          <w:sz w:val="20"/>
        </w:rPr>
        <w:t xml:space="preserve"> be put</w:t>
      </w:r>
      <w:r w:rsidR="00D84164">
        <w:rPr>
          <w:sz w:val="20"/>
        </w:rPr>
        <w:t xml:space="preserve"> in place that the LNPA will follow.</w:t>
      </w:r>
    </w:p>
    <w:p w:rsidR="00281F67" w:rsidRDefault="00281F67">
      <w:pPr>
        <w:rPr>
          <w:sz w:val="24"/>
        </w:rPr>
      </w:pPr>
    </w:p>
    <w:p w:rsidR="00281F67" w:rsidRDefault="00281F67">
      <w:pPr>
        <w:pStyle w:val="BodyText2"/>
        <w:rPr>
          <w:sz w:val="20"/>
        </w:rPr>
      </w:pPr>
      <w:r>
        <w:rPr>
          <w:sz w:val="20"/>
        </w:rPr>
        <w:t xml:space="preserve">B.   Frequency of Occurrence: </w:t>
      </w:r>
    </w:p>
    <w:p w:rsidR="00B616D9" w:rsidRPr="00B26708" w:rsidRDefault="00B616D9">
      <w:pPr>
        <w:pStyle w:val="BodyText2"/>
        <w:rPr>
          <w:sz w:val="20"/>
        </w:rPr>
      </w:pPr>
      <w:r w:rsidRPr="00B26708">
        <w:rPr>
          <w:sz w:val="20"/>
        </w:rPr>
        <w:t xml:space="preserve">Done on an “as needed” basis </w:t>
      </w:r>
      <w:r w:rsidR="00C41C85">
        <w:rPr>
          <w:sz w:val="20"/>
        </w:rPr>
        <w:t xml:space="preserve">for new SPIDs </w:t>
      </w:r>
      <w:r w:rsidRPr="00B26708">
        <w:rPr>
          <w:sz w:val="20"/>
        </w:rPr>
        <w:t xml:space="preserve">or based on situations that occur. For example, when a SPID becomes a Service Bureau customer or no longer uses a Service Bureau. </w:t>
      </w: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281F67" w:rsidRDefault="00281F67">
      <w:pPr>
        <w:pStyle w:val="BodyText2"/>
        <w:rPr>
          <w:sz w:val="20"/>
        </w:rPr>
      </w:pPr>
      <w:r>
        <w:rPr>
          <w:sz w:val="20"/>
        </w:rPr>
        <w:t xml:space="preserve">D.  Rationale why existing process is deficient: </w:t>
      </w:r>
    </w:p>
    <w:p w:rsidR="00B616D9" w:rsidRPr="00B26708" w:rsidRDefault="00B616D9">
      <w:pPr>
        <w:pStyle w:val="BodyText2"/>
        <w:rPr>
          <w:sz w:val="20"/>
        </w:rPr>
      </w:pPr>
      <w:r w:rsidRPr="00B26708">
        <w:rPr>
          <w:sz w:val="20"/>
        </w:rPr>
        <w:t>There is no current</w:t>
      </w:r>
      <w:r w:rsidR="00B26708">
        <w:rPr>
          <w:sz w:val="20"/>
        </w:rPr>
        <w:t xml:space="preserve"> SPID naming process,</w:t>
      </w:r>
      <w:r w:rsidRPr="00B26708">
        <w:rPr>
          <w:sz w:val="20"/>
        </w:rPr>
        <w:t xml:space="preserve"> </w:t>
      </w:r>
      <w:r w:rsidR="00B26708">
        <w:rPr>
          <w:sz w:val="20"/>
        </w:rPr>
        <w:t xml:space="preserve">as defined in the FRS, </w:t>
      </w:r>
      <w:r w:rsidRPr="00B26708">
        <w:rPr>
          <w:sz w:val="20"/>
        </w:rPr>
        <w:t>in place for the NPAC.</w:t>
      </w:r>
    </w:p>
    <w:p w:rsidR="00281F67" w:rsidRDefault="00281F67">
      <w:pPr>
        <w:rPr>
          <w:sz w:val="24"/>
        </w:rPr>
      </w:pPr>
    </w:p>
    <w:p w:rsidR="00281F67" w:rsidRDefault="00281F67">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w:t>
      </w:r>
    </w:p>
    <w:p w:rsidR="00281F67" w:rsidRDefault="00281F67">
      <w:pPr>
        <w:rPr>
          <w:sz w:val="24"/>
        </w:rPr>
      </w:pPr>
    </w:p>
    <w:p w:rsidR="00C141A7" w:rsidRPr="003E2319" w:rsidRDefault="00281F67" w:rsidP="003E2319">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w:t>
      </w: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DF7A12" w:rsidRDefault="00B26708">
      <w:pPr>
        <w:pStyle w:val="BodyText3"/>
      </w:pPr>
      <w:r>
        <w:t xml:space="preserve">A more standard SPID </w:t>
      </w:r>
      <w:r w:rsidR="00ED6303">
        <w:t xml:space="preserve">assignment and </w:t>
      </w:r>
      <w:r>
        <w:t xml:space="preserve">naming process </w:t>
      </w:r>
      <w:r w:rsidR="003E2319">
        <w:t>can</w:t>
      </w:r>
      <w:r>
        <w:t xml:space="preserve"> be</w:t>
      </w:r>
      <w:r w:rsidR="00BD4651" w:rsidRPr="00B26708">
        <w:t xml:space="preserve"> </w:t>
      </w:r>
      <w:r>
        <w:t xml:space="preserve">put </w:t>
      </w:r>
      <w:r w:rsidR="00ED6303">
        <w:t>in place as follows:</w:t>
      </w:r>
    </w:p>
    <w:p w:rsidR="003E2319" w:rsidRDefault="003E2319">
      <w:pPr>
        <w:pStyle w:val="BodyText3"/>
      </w:pPr>
    </w:p>
    <w:p w:rsidR="004C7622" w:rsidRDefault="004C7622">
      <w:pPr>
        <w:pStyle w:val="BodyText3"/>
      </w:pPr>
      <w:r>
        <w:t xml:space="preserve">- The core portion of any SPID name will be based upon the name of the company that is applying to become an NPAC User or PTRS User. The core portion of the name assigned to an </w:t>
      </w:r>
      <w:proofErr w:type="spellStart"/>
      <w:r>
        <w:t>altSPID</w:t>
      </w:r>
      <w:proofErr w:type="spellEnd"/>
      <w:r>
        <w:t xml:space="preserve"> is based upon the request</w:t>
      </w:r>
      <w:r w:rsidR="00492898">
        <w:t>ed</w:t>
      </w:r>
      <w:r>
        <w:t xml:space="preserve"> name coming from an existing NPAC User.</w:t>
      </w:r>
    </w:p>
    <w:p w:rsidR="00DF7A12" w:rsidRDefault="00DF7A12">
      <w:pPr>
        <w:pStyle w:val="BodyText3"/>
      </w:pPr>
      <w:r>
        <w:t xml:space="preserve">- </w:t>
      </w:r>
      <w:r w:rsidR="00BD4651" w:rsidRPr="00B26708">
        <w:t xml:space="preserve">Service Provider SPIDs </w:t>
      </w:r>
      <w:r>
        <w:t xml:space="preserve">used for porting </w:t>
      </w:r>
      <w:r w:rsidR="00BD4651" w:rsidRPr="00B26708">
        <w:t>will be assigned based on the company</w:t>
      </w:r>
      <w:r w:rsidR="0097484E">
        <w:t>’s OCN.</w:t>
      </w:r>
    </w:p>
    <w:p w:rsidR="00281F67" w:rsidRDefault="00DF7A12">
      <w:pPr>
        <w:pStyle w:val="BodyText3"/>
      </w:pPr>
      <w:r>
        <w:t xml:space="preserve">- </w:t>
      </w:r>
      <w:r w:rsidR="00BD4651" w:rsidRPr="00B7537D">
        <w:t xml:space="preserve">Assignment of </w:t>
      </w:r>
      <w:r w:rsidR="003A0FDF" w:rsidRPr="00B7537D">
        <w:t xml:space="preserve">the SPID value for </w:t>
      </w:r>
      <w:r w:rsidR="00BD4651" w:rsidRPr="00B7537D">
        <w:t>PTRS</w:t>
      </w:r>
      <w:r w:rsidR="00675A29">
        <w:t>/</w:t>
      </w:r>
      <w:r w:rsidR="00492898">
        <w:t>Non-C</w:t>
      </w:r>
      <w:r w:rsidRPr="00B7537D">
        <w:t xml:space="preserve">arriers </w:t>
      </w:r>
      <w:r w:rsidR="003A0FDF" w:rsidRPr="00B7537D">
        <w:t xml:space="preserve">and </w:t>
      </w:r>
      <w:proofErr w:type="spellStart"/>
      <w:r w:rsidR="003A0FDF" w:rsidRPr="00B7537D">
        <w:t>altSPIDs</w:t>
      </w:r>
      <w:proofErr w:type="spellEnd"/>
      <w:r w:rsidR="003A0FDF" w:rsidRPr="00B7537D">
        <w:t xml:space="preserve"> </w:t>
      </w:r>
      <w:r w:rsidR="00BD4651" w:rsidRPr="00B7537D">
        <w:t>will star</w:t>
      </w:r>
      <w:r w:rsidRPr="00B7537D">
        <w:t xml:space="preserve">t with an </w:t>
      </w:r>
      <w:r w:rsidR="00D41C7B">
        <w:t>‘</w:t>
      </w:r>
      <w:r w:rsidRPr="00B7537D">
        <w:t>X</w:t>
      </w:r>
      <w:r w:rsidR="00D41C7B">
        <w:t>’</w:t>
      </w:r>
      <w:r w:rsidRPr="00B7537D">
        <w:t>. This includes SPIDs used by Service Prov</w:t>
      </w:r>
      <w:r w:rsidR="00DD2265">
        <w:t>iders for non-porting purposes.</w:t>
      </w:r>
    </w:p>
    <w:p w:rsidR="004C7622" w:rsidRPr="00B7537D" w:rsidRDefault="004C7622">
      <w:pPr>
        <w:pStyle w:val="BodyText3"/>
      </w:pPr>
      <w:r>
        <w:t xml:space="preserve">- The name for SPIDs requested by Service Providers to use in the </w:t>
      </w:r>
      <w:proofErr w:type="spellStart"/>
      <w:r>
        <w:t>altSPID</w:t>
      </w:r>
      <w:proofErr w:type="spellEnd"/>
      <w:r>
        <w:t xml:space="preserve"> or </w:t>
      </w:r>
      <w:proofErr w:type="spellStart"/>
      <w:r>
        <w:t>lastaltSPID</w:t>
      </w:r>
      <w:proofErr w:type="spellEnd"/>
      <w:r>
        <w:t xml:space="preserve"> attribute on porting requests will be prefixed by “alt</w:t>
      </w:r>
      <w:r w:rsidR="00682CB4">
        <w:t>_</w:t>
      </w:r>
      <w:r>
        <w:t>” for identification purposes.</w:t>
      </w:r>
    </w:p>
    <w:p w:rsidR="00DF7A12" w:rsidRPr="00B7537D" w:rsidRDefault="00DF7A12">
      <w:pPr>
        <w:pStyle w:val="BodyText3"/>
      </w:pPr>
      <w:r w:rsidRPr="00B7537D">
        <w:t xml:space="preserve">- VoIP </w:t>
      </w:r>
      <w:r w:rsidR="00905BA4">
        <w:t>Providers</w:t>
      </w:r>
      <w:r w:rsidRPr="00B7537D">
        <w:t xml:space="preserve"> that </w:t>
      </w:r>
      <w:r w:rsidR="00905BA4">
        <w:t>are categorized in N</w:t>
      </w:r>
      <w:r w:rsidR="0097484E">
        <w:t xml:space="preserve">PAC as PTRS, because they do not </w:t>
      </w:r>
      <w:r w:rsidR="00905BA4">
        <w:t xml:space="preserve">obtain number resourcing from NANPA and </w:t>
      </w:r>
      <w:r w:rsidRPr="00B7537D">
        <w:t>do not h</w:t>
      </w:r>
      <w:r w:rsidR="00492898">
        <w:t xml:space="preserve">ave an OCN, will be assigned a SPID starting with an </w:t>
      </w:r>
      <w:r w:rsidR="00D41C7B">
        <w:t>‘</w:t>
      </w:r>
      <w:r w:rsidR="00492898">
        <w:t>X</w:t>
      </w:r>
      <w:r w:rsidR="00D41C7B">
        <w:t>’</w:t>
      </w:r>
      <w:r w:rsidR="00492898">
        <w:t>.</w:t>
      </w:r>
      <w:r w:rsidRPr="00B7537D">
        <w:t xml:space="preserve"> </w:t>
      </w:r>
    </w:p>
    <w:p w:rsidR="0078713F" w:rsidRDefault="00DF7A12" w:rsidP="00BD4651">
      <w:pPr>
        <w:pStyle w:val="BodyText3"/>
      </w:pPr>
      <w:r>
        <w:t xml:space="preserve">- Indication of the Service Bureau </w:t>
      </w:r>
      <w:r w:rsidR="00492898">
        <w:t xml:space="preserve">providing SOA porting support for a SPID </w:t>
      </w:r>
      <w:r>
        <w:t>will be included in the name as an abbreviation</w:t>
      </w:r>
      <w:r w:rsidR="00352941">
        <w:t xml:space="preserve"> </w:t>
      </w:r>
      <w:r w:rsidR="00565B84">
        <w:t>preceded</w:t>
      </w:r>
      <w:r w:rsidR="00352941">
        <w:t xml:space="preserve"> by a ‘-‘</w:t>
      </w:r>
      <w:r>
        <w:t xml:space="preserve">. </w:t>
      </w:r>
      <w:r w:rsidR="0078713F">
        <w:t>(See the list below).</w:t>
      </w:r>
    </w:p>
    <w:p w:rsidR="00DF7A12" w:rsidRDefault="00C41C85" w:rsidP="00BD4651">
      <w:pPr>
        <w:pStyle w:val="BodyText3"/>
      </w:pPr>
      <w:r>
        <w:t>- A</w:t>
      </w:r>
      <w:r w:rsidR="003A0FDF">
        <w:t xml:space="preserve">bbreviations </w:t>
      </w:r>
      <w:r>
        <w:t xml:space="preserve">will be </w:t>
      </w:r>
      <w:r w:rsidR="003A0FDF">
        <w:t>used in SP</w:t>
      </w:r>
      <w:r w:rsidR="0078713F">
        <w:t xml:space="preserve"> names in order to keep within the 38 available character limit.</w:t>
      </w:r>
    </w:p>
    <w:p w:rsidR="00DF7A12" w:rsidRDefault="00DF7A12" w:rsidP="00BD4651">
      <w:pPr>
        <w:pStyle w:val="BodyText3"/>
      </w:pPr>
      <w:r>
        <w:t xml:space="preserve">- </w:t>
      </w:r>
      <w:r w:rsidR="00BD4651" w:rsidRPr="00B26708">
        <w:t xml:space="preserve">The SP Name </w:t>
      </w:r>
      <w:r w:rsidR="000628C3">
        <w:t>is</w:t>
      </w:r>
      <w:r>
        <w:t xml:space="preserve"> suffixed with the SP</w:t>
      </w:r>
      <w:r w:rsidR="00BD4651" w:rsidRPr="00B26708">
        <w:t xml:space="preserve"> Type (/1,</w:t>
      </w:r>
      <w:r>
        <w:t xml:space="preserve"> </w:t>
      </w:r>
      <w:r w:rsidR="00BD4651" w:rsidRPr="00B26708">
        <w:t>/2</w:t>
      </w:r>
      <w:r w:rsidRPr="00B26708">
        <w:t>, /</w:t>
      </w:r>
      <w:r w:rsidR="00BD4651" w:rsidRPr="00B26708">
        <w:t>3,</w:t>
      </w:r>
      <w:r>
        <w:t xml:space="preserve"> </w:t>
      </w:r>
      <w:r w:rsidR="00BD4651" w:rsidRPr="00B26708">
        <w:t xml:space="preserve">/4). </w:t>
      </w:r>
    </w:p>
    <w:p w:rsidR="00ED6303" w:rsidRDefault="00ED6303" w:rsidP="00BD4651">
      <w:pPr>
        <w:pStyle w:val="BodyText3"/>
      </w:pPr>
    </w:p>
    <w:p w:rsidR="00ED6303" w:rsidRDefault="00ED6303" w:rsidP="00BD4651">
      <w:pPr>
        <w:pStyle w:val="BodyText3"/>
      </w:pPr>
      <w:r>
        <w:t>Informational points – these would not become requirements:</w:t>
      </w:r>
    </w:p>
    <w:p w:rsidR="00ED6303" w:rsidRDefault="00ED6303" w:rsidP="00BD4651">
      <w:pPr>
        <w:pStyle w:val="BodyText3"/>
      </w:pPr>
      <w:r>
        <w:t>- No changes to existing names made</w:t>
      </w:r>
      <w:r w:rsidRPr="00B26708">
        <w:t xml:space="preserve"> </w:t>
      </w:r>
      <w:r>
        <w:t xml:space="preserve">(no mass cleanup) </w:t>
      </w:r>
      <w:r w:rsidRPr="00B26708">
        <w:t xml:space="preserve">unless </w:t>
      </w:r>
      <w:r>
        <w:t>a future event occurs, such as</w:t>
      </w:r>
      <w:r w:rsidRPr="00B26708">
        <w:t xml:space="preserve"> changes with their Service Bureau. </w:t>
      </w:r>
    </w:p>
    <w:p w:rsidR="00DF7A12" w:rsidRDefault="00DF7A12" w:rsidP="00BD4651">
      <w:pPr>
        <w:pStyle w:val="BodyText3"/>
      </w:pPr>
      <w:r>
        <w:t xml:space="preserve">- </w:t>
      </w:r>
      <w:r w:rsidR="00BD4651" w:rsidRPr="00B26708">
        <w:t xml:space="preserve">The SPID </w:t>
      </w:r>
      <w:r w:rsidR="000628C3">
        <w:t>is not</w:t>
      </w:r>
      <w:r w:rsidR="00BD4651" w:rsidRPr="00B26708">
        <w:t xml:space="preserve"> embedded in the SP name unless needed for regional uniqueness. </w:t>
      </w:r>
    </w:p>
    <w:p w:rsidR="0078713F" w:rsidRPr="008139A6" w:rsidRDefault="0078713F" w:rsidP="00BD4651">
      <w:pPr>
        <w:pStyle w:val="BodyText3"/>
      </w:pPr>
    </w:p>
    <w:p w:rsidR="008139A6" w:rsidRPr="008139A6" w:rsidRDefault="00B16D3B">
      <w:pPr>
        <w:pStyle w:val="BodyText3"/>
        <w:rPr>
          <w:u w:val="single"/>
        </w:rPr>
      </w:pPr>
      <w:r w:rsidRPr="008139A6">
        <w:rPr>
          <w:u w:val="single"/>
        </w:rPr>
        <w:t>Service Bureau abbreviations</w:t>
      </w:r>
      <w:r w:rsidR="00352941">
        <w:rPr>
          <w:u w:val="single"/>
        </w:rPr>
        <w:t xml:space="preserve"> – these will</w:t>
      </w:r>
      <w:r w:rsidR="003A0FDF" w:rsidRPr="008139A6">
        <w:rPr>
          <w:u w:val="single"/>
        </w:rPr>
        <w:t xml:space="preserve"> change over time</w:t>
      </w:r>
      <w:r w:rsidRPr="008139A6">
        <w:rPr>
          <w:u w:val="single"/>
        </w:rPr>
        <w:t>:</w:t>
      </w:r>
      <w:r w:rsidR="003A0FDF" w:rsidRPr="008139A6">
        <w:rPr>
          <w:u w:val="single"/>
        </w:rPr>
        <w:t xml:space="preserve"> </w:t>
      </w:r>
    </w:p>
    <w:p w:rsidR="00B16D3B" w:rsidRPr="008139A6" w:rsidRDefault="008139A6">
      <w:pPr>
        <w:pStyle w:val="BodyText3"/>
      </w:pPr>
      <w:r w:rsidRPr="008139A6">
        <w:t xml:space="preserve">ATLC – ATL Communications </w:t>
      </w:r>
    </w:p>
    <w:p w:rsidR="0097484E" w:rsidRPr="008139A6" w:rsidRDefault="0097484E">
      <w:pPr>
        <w:pStyle w:val="BodyText3"/>
      </w:pPr>
      <w:r>
        <w:t>Bright – Bright</w:t>
      </w:r>
    </w:p>
    <w:p w:rsidR="008139A6" w:rsidRPr="00905BA4" w:rsidRDefault="008139A6">
      <w:pPr>
        <w:pStyle w:val="BodyText3"/>
      </w:pPr>
      <w:r w:rsidRPr="00905BA4">
        <w:t>EESP – EESPRO INC</w:t>
      </w:r>
    </w:p>
    <w:p w:rsidR="008139A6" w:rsidRPr="008139A6" w:rsidRDefault="008139A6">
      <w:pPr>
        <w:pStyle w:val="BodyText3"/>
      </w:pPr>
      <w:r w:rsidRPr="008139A6">
        <w:t xml:space="preserve">FPC – </w:t>
      </w:r>
      <w:proofErr w:type="spellStart"/>
      <w:r w:rsidRPr="008139A6">
        <w:t>Fairpoint</w:t>
      </w:r>
      <w:proofErr w:type="spellEnd"/>
      <w:r w:rsidRPr="008139A6">
        <w:t xml:space="preserve"> Communications</w:t>
      </w:r>
      <w:r w:rsidR="00905BA4">
        <w:t xml:space="preserve"> (Grandfathered) </w:t>
      </w:r>
    </w:p>
    <w:p w:rsidR="008139A6" w:rsidRPr="008139A6" w:rsidRDefault="008139A6">
      <w:pPr>
        <w:pStyle w:val="BodyText3"/>
      </w:pPr>
      <w:r w:rsidRPr="008139A6">
        <w:t>GVNW – GVNW CONSULTING, INC.</w:t>
      </w:r>
    </w:p>
    <w:p w:rsidR="008139A6" w:rsidRPr="008139A6" w:rsidRDefault="008139A6">
      <w:pPr>
        <w:pStyle w:val="BodyText3"/>
      </w:pPr>
      <w:r w:rsidRPr="008139A6">
        <w:t>ICORE – ICORE CONSULTING, LLC</w:t>
      </w:r>
    </w:p>
    <w:p w:rsidR="008139A6" w:rsidRPr="008139A6" w:rsidRDefault="008139A6">
      <w:pPr>
        <w:pStyle w:val="BodyText3"/>
      </w:pPr>
      <w:r w:rsidRPr="008139A6">
        <w:t>IST – Interstate Telecom</w:t>
      </w:r>
    </w:p>
    <w:p w:rsidR="008139A6" w:rsidRPr="008139A6" w:rsidRDefault="008139A6">
      <w:pPr>
        <w:pStyle w:val="BodyText3"/>
      </w:pPr>
      <w:r w:rsidRPr="008139A6">
        <w:t xml:space="preserve">NSR – </w:t>
      </w:r>
      <w:proofErr w:type="spellStart"/>
      <w:r w:rsidRPr="008139A6">
        <w:t>Neustar</w:t>
      </w:r>
      <w:proofErr w:type="spellEnd"/>
      <w:r w:rsidRPr="008139A6">
        <w:t xml:space="preserve"> </w:t>
      </w:r>
    </w:p>
    <w:p w:rsidR="008139A6" w:rsidRPr="008139A6" w:rsidRDefault="008139A6">
      <w:pPr>
        <w:pStyle w:val="BodyText3"/>
      </w:pPr>
      <w:r w:rsidRPr="008139A6">
        <w:t xml:space="preserve">NYAB – New York Access Billing </w:t>
      </w:r>
    </w:p>
    <w:p w:rsidR="008139A6" w:rsidRPr="008139A6" w:rsidRDefault="008139A6">
      <w:pPr>
        <w:pStyle w:val="BodyText3"/>
      </w:pPr>
      <w:r w:rsidRPr="008139A6">
        <w:t xml:space="preserve">S&amp;A – Strachan and Associates </w:t>
      </w:r>
    </w:p>
    <w:p w:rsidR="008139A6" w:rsidRPr="008139A6" w:rsidRDefault="008139A6">
      <w:pPr>
        <w:pStyle w:val="BodyText3"/>
      </w:pPr>
      <w:r w:rsidRPr="008139A6">
        <w:t xml:space="preserve">SVR – </w:t>
      </w:r>
      <w:proofErr w:type="spellStart"/>
      <w:r w:rsidRPr="008139A6">
        <w:t>Syniverse</w:t>
      </w:r>
      <w:proofErr w:type="spellEnd"/>
      <w:r w:rsidRPr="008139A6">
        <w:t xml:space="preserve"> </w:t>
      </w:r>
    </w:p>
    <w:p w:rsidR="00B16D3B" w:rsidRDefault="008139A6">
      <w:pPr>
        <w:pStyle w:val="BodyText3"/>
        <w:rPr>
          <w:color w:val="FF0000"/>
        </w:rPr>
      </w:pPr>
      <w:r w:rsidRPr="008139A6">
        <w:t xml:space="preserve">TCA </w:t>
      </w:r>
      <w:r w:rsidR="00ED6303">
        <w:t>–</w:t>
      </w:r>
      <w:r w:rsidRPr="008139A6">
        <w:t xml:space="preserve"> TCA</w:t>
      </w:r>
    </w:p>
    <w:p w:rsidR="00ED6303" w:rsidRPr="00ED6303" w:rsidRDefault="00ED6303">
      <w:pPr>
        <w:pStyle w:val="BodyText3"/>
        <w:rPr>
          <w:color w:val="FF0000"/>
        </w:rPr>
      </w:pPr>
    </w:p>
    <w:p w:rsidR="00352941" w:rsidRDefault="00352941">
      <w:pPr>
        <w:pStyle w:val="BodyText3"/>
      </w:pPr>
      <w:r w:rsidRPr="00352941">
        <w:t>New Service Bureau abbreviations should be 4 characters or less unless a constraint exists</w:t>
      </w:r>
      <w:r>
        <w:t>. This allows up to 33 characters for the Service Provider’s actual Name (33 plus a dash plus 4 character SB abbreviation plus 2 character Type suffix, such as /1)</w:t>
      </w:r>
    </w:p>
    <w:p w:rsidR="00A1613B" w:rsidRDefault="00A1613B">
      <w:pPr>
        <w:pStyle w:val="BodyText3"/>
      </w:pPr>
    </w:p>
    <w:p w:rsidR="00A1613B" w:rsidRPr="00352941" w:rsidRDefault="00A1613B">
      <w:pPr>
        <w:pStyle w:val="BodyText3"/>
      </w:pPr>
      <w:r>
        <w:t>The above information is filed as a reference on the NPAC customer portal Knowledge Base.</w:t>
      </w:r>
    </w:p>
    <w:p w:rsidR="00281F67" w:rsidRDefault="00281F67">
      <w:pPr>
        <w:rPr>
          <w:sz w:val="24"/>
        </w:rPr>
      </w:pPr>
    </w:p>
    <w:p w:rsidR="0025485E" w:rsidRPr="00EE728F" w:rsidRDefault="0025485E" w:rsidP="0025485E">
      <w:pPr>
        <w:numPr>
          <w:ilvl w:val="0"/>
          <w:numId w:val="2"/>
        </w:numPr>
        <w:rPr>
          <w:sz w:val="24"/>
        </w:rPr>
      </w:pPr>
      <w:r w:rsidRPr="00EE728F">
        <w:rPr>
          <w:b/>
          <w:sz w:val="24"/>
        </w:rPr>
        <w:t>Final Resolution:</w:t>
      </w:r>
    </w:p>
    <w:p w:rsidR="0025485E" w:rsidRPr="00EE728F" w:rsidRDefault="0025485E" w:rsidP="0025485E">
      <w:pPr>
        <w:ind w:left="360"/>
        <w:rPr>
          <w:sz w:val="24"/>
        </w:rPr>
      </w:pPr>
    </w:p>
    <w:p w:rsidR="0025485E" w:rsidRDefault="006A001A" w:rsidP="0025485E">
      <w:pPr>
        <w:pBdr>
          <w:top w:val="single" w:sz="4" w:space="1" w:color="auto"/>
          <w:left w:val="single" w:sz="4" w:space="4" w:color="auto"/>
          <w:bottom w:val="single" w:sz="4" w:space="1" w:color="auto"/>
          <w:right w:val="single" w:sz="4" w:space="4" w:color="auto"/>
          <w:bar w:val="single" w:sz="4" w:color="auto"/>
        </w:pBdr>
        <w:rPr>
          <w:sz w:val="24"/>
        </w:rPr>
      </w:pPr>
      <w:r>
        <w:rPr>
          <w:sz w:val="24"/>
        </w:rPr>
        <w:t>The new SPID Naming file has been posted to the iconectiv NPAC Customer Portal under the Knowledge Base. It includes the elements in the Suggested Solution section of this PIM.</w:t>
      </w:r>
    </w:p>
    <w:p w:rsidR="0025485E" w:rsidRPr="00EE728F" w:rsidRDefault="0025485E" w:rsidP="0025485E">
      <w:pPr>
        <w:pBdr>
          <w:top w:val="single" w:sz="4" w:space="1" w:color="auto"/>
          <w:left w:val="single" w:sz="4" w:space="4" w:color="auto"/>
          <w:bottom w:val="single" w:sz="4" w:space="1" w:color="auto"/>
          <w:right w:val="single" w:sz="4" w:space="4" w:color="auto"/>
          <w:bar w:val="single" w:sz="4" w:color="auto"/>
        </w:pBdr>
        <w:rPr>
          <w:sz w:val="24"/>
        </w:rPr>
      </w:pPr>
    </w:p>
    <w:p w:rsidR="00281F67" w:rsidRDefault="00281F67">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2241C5">
        <w:rPr>
          <w:sz w:val="24"/>
        </w:rPr>
        <w:tab/>
      </w:r>
      <w:r w:rsidR="002241C5">
        <w:rPr>
          <w:sz w:val="24"/>
        </w:rPr>
        <w:tab/>
      </w:r>
      <w:r w:rsidR="002241C5">
        <w:rPr>
          <w:sz w:val="24"/>
        </w:rPr>
        <w:tab/>
      </w:r>
      <w:r w:rsidR="002241C5">
        <w:rPr>
          <w:sz w:val="24"/>
        </w:rPr>
        <w:tab/>
        <w:t>Final Resolution Date: 9/11/18</w:t>
      </w:r>
      <w:bookmarkStart w:id="0" w:name="_GoBack"/>
      <w:bookmarkEnd w:id="0"/>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lastRenderedPageBreak/>
        <w:t xml:space="preserve">Item Number: </w:t>
      </w:r>
      <w:r w:rsidR="00D5102B">
        <w:rPr>
          <w:sz w:val="24"/>
        </w:rPr>
        <w:t>PIM 117</w:t>
      </w:r>
      <w:r>
        <w:rPr>
          <w:sz w:val="24"/>
        </w:rPr>
        <w:tab/>
      </w:r>
      <w:r w:rsidR="0025485E">
        <w:rPr>
          <w:sz w:val="24"/>
        </w:rPr>
        <w:tab/>
      </w:r>
      <w:r w:rsidR="0025485E">
        <w:rPr>
          <w:sz w:val="24"/>
        </w:rPr>
        <w:tab/>
        <w:t>Related Documents:</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4A" w:rsidRDefault="0092624A">
      <w:r>
        <w:separator/>
      </w:r>
    </w:p>
  </w:endnote>
  <w:endnote w:type="continuationSeparator" w:id="0">
    <w:p w:rsidR="0092624A" w:rsidRDefault="009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1C5">
      <w:rPr>
        <w:rStyle w:val="PageNumber"/>
        <w:noProof/>
      </w:rPr>
      <w:t>3</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4A" w:rsidRDefault="0092624A">
      <w:r>
        <w:separator/>
      </w:r>
    </w:p>
  </w:footnote>
  <w:footnote w:type="continuationSeparator" w:id="0">
    <w:p w:rsidR="0092624A" w:rsidRDefault="0092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8"/>
  </w:num>
  <w:num w:numId="3">
    <w:abstractNumId w:val="1"/>
  </w:num>
  <w:num w:numId="4">
    <w:abstractNumId w:val="7"/>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628C3"/>
    <w:rsid w:val="000C16CD"/>
    <w:rsid w:val="00145BB3"/>
    <w:rsid w:val="00195B4E"/>
    <w:rsid w:val="00216184"/>
    <w:rsid w:val="002241C5"/>
    <w:rsid w:val="0025485E"/>
    <w:rsid w:val="0025574E"/>
    <w:rsid w:val="00281F67"/>
    <w:rsid w:val="002A7914"/>
    <w:rsid w:val="00337B71"/>
    <w:rsid w:val="00352941"/>
    <w:rsid w:val="003A0FDF"/>
    <w:rsid w:val="003E2319"/>
    <w:rsid w:val="004608A1"/>
    <w:rsid w:val="004800C1"/>
    <w:rsid w:val="00492898"/>
    <w:rsid w:val="004C4A7F"/>
    <w:rsid w:val="004C7622"/>
    <w:rsid w:val="0050353A"/>
    <w:rsid w:val="005209A1"/>
    <w:rsid w:val="00565B84"/>
    <w:rsid w:val="005A61A9"/>
    <w:rsid w:val="00675A29"/>
    <w:rsid w:val="00682CB4"/>
    <w:rsid w:val="00683644"/>
    <w:rsid w:val="006A001A"/>
    <w:rsid w:val="006B6D23"/>
    <w:rsid w:val="007150F7"/>
    <w:rsid w:val="0078713F"/>
    <w:rsid w:val="007E7DBC"/>
    <w:rsid w:val="008139A6"/>
    <w:rsid w:val="0083598C"/>
    <w:rsid w:val="008C5A62"/>
    <w:rsid w:val="00905BA4"/>
    <w:rsid w:val="0092624A"/>
    <w:rsid w:val="00935380"/>
    <w:rsid w:val="0097484E"/>
    <w:rsid w:val="009B3B8A"/>
    <w:rsid w:val="00A1613B"/>
    <w:rsid w:val="00AF4878"/>
    <w:rsid w:val="00B16D3B"/>
    <w:rsid w:val="00B26708"/>
    <w:rsid w:val="00B547C4"/>
    <w:rsid w:val="00B616D9"/>
    <w:rsid w:val="00B7537D"/>
    <w:rsid w:val="00BD4651"/>
    <w:rsid w:val="00C12BFE"/>
    <w:rsid w:val="00C141A7"/>
    <w:rsid w:val="00C41C85"/>
    <w:rsid w:val="00C75DD2"/>
    <w:rsid w:val="00CB0F5C"/>
    <w:rsid w:val="00CD789A"/>
    <w:rsid w:val="00CE4C62"/>
    <w:rsid w:val="00D26870"/>
    <w:rsid w:val="00D41C7B"/>
    <w:rsid w:val="00D5102B"/>
    <w:rsid w:val="00D5179D"/>
    <w:rsid w:val="00D84164"/>
    <w:rsid w:val="00DC6A54"/>
    <w:rsid w:val="00DC732E"/>
    <w:rsid w:val="00DD2265"/>
    <w:rsid w:val="00DD451A"/>
    <w:rsid w:val="00DF7A12"/>
    <w:rsid w:val="00E74BF2"/>
    <w:rsid w:val="00E80D4E"/>
    <w:rsid w:val="00EA0487"/>
    <w:rsid w:val="00ED6303"/>
    <w:rsid w:val="00F60481"/>
    <w:rsid w:val="00FD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1910F"/>
  <w15:chartTrackingRefBased/>
  <w15:docId w15:val="{E83466B9-A75A-4DBD-9948-B257A7E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George Tsacnaris</dc:creator>
  <cp:keywords/>
  <cp:lastModifiedBy>Doherty, Michael</cp:lastModifiedBy>
  <cp:revision>3</cp:revision>
  <cp:lastPrinted>1999-05-19T19:58:00Z</cp:lastPrinted>
  <dcterms:created xsi:type="dcterms:W3CDTF">2019-03-27T19:20:00Z</dcterms:created>
  <dcterms:modified xsi:type="dcterms:W3CDTF">2019-05-28T17:01:00Z</dcterms:modified>
</cp:coreProperties>
</file>