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67" w:rsidRDefault="00281F67">
      <w:pPr>
        <w:pStyle w:val="Title"/>
        <w:shd w:val="clear" w:color="auto" w:fill="C0C0C0"/>
      </w:pPr>
      <w:r>
        <w:t>LNP Problem/Issue Identification and Description Form</w:t>
      </w:r>
    </w:p>
    <w:p w:rsidR="00281F67" w:rsidRDefault="00281F67">
      <w:pPr>
        <w:rPr>
          <w:sz w:val="24"/>
        </w:rPr>
      </w:pPr>
    </w:p>
    <w:p w:rsidR="00281F67" w:rsidRDefault="00281F67">
      <w:pPr>
        <w:rPr>
          <w:sz w:val="24"/>
        </w:rPr>
      </w:pPr>
    </w:p>
    <w:p w:rsidR="00635EA9" w:rsidRDefault="00635EA9" w:rsidP="00635E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(mm/dd/yyyy):  07/05/2018</w:t>
      </w:r>
    </w:p>
    <w:p w:rsidR="00635EA9" w:rsidRDefault="00635EA9" w:rsidP="00635EA9">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xml:space="preserve">: </w:t>
      </w:r>
      <w:r>
        <w:rPr>
          <w:sz w:val="24"/>
          <w:u w:val="single"/>
        </w:rPr>
        <w:t>iconectiv (LNPA)</w:t>
      </w:r>
    </w:p>
    <w:p w:rsidR="00635EA9" w:rsidRDefault="00635EA9" w:rsidP="00635EA9">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Pr>
          <w:sz w:val="24"/>
          <w:u w:val="single"/>
        </w:rPr>
        <w:t>George Tsacnaris</w:t>
      </w:r>
      <w:r>
        <w:rPr>
          <w:sz w:val="24"/>
        </w:rPr>
        <w:t>_</w:t>
      </w:r>
    </w:p>
    <w:p w:rsidR="00635EA9" w:rsidRDefault="00635EA9" w:rsidP="00635E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Pr>
          <w:sz w:val="24"/>
          <w:u w:val="single"/>
        </w:rPr>
        <w:t>7</w:t>
      </w:r>
      <w:r>
        <w:rPr>
          <w:sz w:val="24"/>
        </w:rPr>
        <w:t xml:space="preserve"> </w:t>
      </w:r>
      <w:r>
        <w:rPr>
          <w:sz w:val="24"/>
          <w:u w:val="single"/>
        </w:rPr>
        <w:t>3</w:t>
      </w:r>
      <w:r>
        <w:rPr>
          <w:sz w:val="24"/>
        </w:rPr>
        <w:t xml:space="preserve"> </w:t>
      </w:r>
      <w:r>
        <w:rPr>
          <w:sz w:val="24"/>
          <w:u w:val="single"/>
        </w:rPr>
        <w:t xml:space="preserve">2 </w:t>
      </w:r>
      <w:r>
        <w:rPr>
          <w:sz w:val="24"/>
        </w:rPr>
        <w:t>/</w:t>
      </w:r>
      <w:r>
        <w:rPr>
          <w:sz w:val="24"/>
          <w:u w:val="single"/>
        </w:rPr>
        <w:t>6</w:t>
      </w:r>
      <w:r>
        <w:rPr>
          <w:sz w:val="24"/>
        </w:rPr>
        <w:t xml:space="preserve"> </w:t>
      </w:r>
      <w:r>
        <w:rPr>
          <w:sz w:val="24"/>
          <w:u w:val="single"/>
        </w:rPr>
        <w:t>9</w:t>
      </w:r>
      <w:r>
        <w:rPr>
          <w:sz w:val="24"/>
        </w:rPr>
        <w:t xml:space="preserve"> </w:t>
      </w:r>
      <w:r>
        <w:rPr>
          <w:sz w:val="24"/>
          <w:u w:val="single"/>
        </w:rPr>
        <w:t>9</w:t>
      </w:r>
      <w:r>
        <w:rPr>
          <w:sz w:val="24"/>
        </w:rPr>
        <w:t xml:space="preserve"> /</w:t>
      </w:r>
      <w:r>
        <w:rPr>
          <w:sz w:val="24"/>
          <w:u w:val="single"/>
        </w:rPr>
        <w:t>7</w:t>
      </w:r>
      <w:r>
        <w:rPr>
          <w:sz w:val="24"/>
        </w:rPr>
        <w:t xml:space="preserve"> </w:t>
      </w:r>
      <w:r>
        <w:rPr>
          <w:sz w:val="24"/>
          <w:u w:val="single"/>
        </w:rPr>
        <w:t>6</w:t>
      </w:r>
      <w:r>
        <w:rPr>
          <w:sz w:val="24"/>
        </w:rPr>
        <w:t xml:space="preserve"> </w:t>
      </w:r>
      <w:r>
        <w:rPr>
          <w:sz w:val="24"/>
          <w:u w:val="single"/>
        </w:rPr>
        <w:t>2</w:t>
      </w:r>
      <w:r>
        <w:rPr>
          <w:sz w:val="24"/>
        </w:rPr>
        <w:t xml:space="preserve"> </w:t>
      </w:r>
      <w:r>
        <w:rPr>
          <w:sz w:val="24"/>
          <w:u w:val="single"/>
        </w:rPr>
        <w:t>7</w:t>
      </w:r>
    </w:p>
    <w:p w:rsidR="00635EA9" w:rsidRDefault="00635EA9" w:rsidP="00635E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r>
        <w:rPr>
          <w:sz w:val="24"/>
          <w:u w:val="single"/>
        </w:rPr>
        <w:t>gtsacnaris@iconectiv.com</w:t>
      </w:r>
    </w:p>
    <w:p w:rsidR="005A61A9" w:rsidRDefault="00635EA9" w:rsidP="00635EA9">
      <w:pPr>
        <w:pBdr>
          <w:top w:val="single" w:sz="4" w:space="1" w:color="auto"/>
          <w:left w:val="single" w:sz="4" w:space="4" w:color="auto"/>
          <w:bottom w:val="single" w:sz="4" w:space="1" w:color="auto"/>
          <w:right w:val="single" w:sz="4" w:space="4" w:color="auto"/>
        </w:pBdr>
        <w:rPr>
          <w:b/>
          <w:sz w:val="16"/>
        </w:rPr>
      </w:pPr>
      <w:r>
        <w:rPr>
          <w:b/>
          <w:sz w:val="16"/>
        </w:rPr>
        <w:t xml:space="preserve"> </w:t>
      </w:r>
      <w:r w:rsidR="005A61A9">
        <w:rPr>
          <w:b/>
          <w:sz w:val="16"/>
        </w:rPr>
        <w:t>(NOTE: Submitting Company(s) is to complete this section of the form along with Sections 1, 2 and 3.)</w:t>
      </w:r>
    </w:p>
    <w:p w:rsidR="00281F67" w:rsidRDefault="00281F67">
      <w:pPr>
        <w:rPr>
          <w:sz w:val="24"/>
          <w:u w:val="single"/>
        </w:rPr>
      </w:pPr>
    </w:p>
    <w:p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rsidR="00A04B52" w:rsidRPr="005511C4" w:rsidRDefault="00A04B52" w:rsidP="00A04B52">
      <w:pPr>
        <w:ind w:left="360"/>
      </w:pPr>
    </w:p>
    <w:p w:rsidR="00635EA9" w:rsidRDefault="00635EA9" w:rsidP="00635EA9">
      <w:pPr>
        <w:pStyle w:val="BodyText2"/>
        <w:rPr>
          <w:sz w:val="20"/>
        </w:rPr>
      </w:pPr>
      <w:r>
        <w:rPr>
          <w:sz w:val="20"/>
        </w:rPr>
        <w:t xml:space="preserve">During transition, iconectiv was required to outreach to every SPID defined in the NPAC database or assigned to an NPAC user. One discovery was that some SPIDs were either choosing to not onboard or Out of Business. In most cases this was benign with no impact. </w:t>
      </w:r>
    </w:p>
    <w:p w:rsidR="005B655C" w:rsidRDefault="00635EA9" w:rsidP="005B655C">
      <w:pPr>
        <w:pStyle w:val="BodyText2"/>
        <w:rPr>
          <w:sz w:val="20"/>
        </w:rPr>
      </w:pPr>
      <w:r>
        <w:rPr>
          <w:sz w:val="20"/>
        </w:rPr>
        <w:t>However, further investigation led iconectiv to see that some of these SPIDs had Active or Pending SVs, LRNS, NPA-NXXs, or NPA-NXX-Xs in the NPAC regional database.</w:t>
      </w:r>
    </w:p>
    <w:p w:rsidR="00281F67" w:rsidRDefault="00281F67">
      <w:pPr>
        <w:rPr>
          <w:sz w:val="24"/>
        </w:rPr>
      </w:pPr>
    </w:p>
    <w:p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281F67" w:rsidRDefault="00281F67">
      <w:pPr>
        <w:pStyle w:val="BodyText"/>
        <w:pBdr>
          <w:top w:val="none" w:sz="0" w:space="0" w:color="auto"/>
          <w:left w:val="none" w:sz="0" w:space="0" w:color="auto"/>
          <w:bottom w:val="none" w:sz="0" w:space="0" w:color="auto"/>
          <w:right w:val="none" w:sz="0" w:space="0" w:color="auto"/>
        </w:pBdr>
        <w:rPr>
          <w:sz w:val="16"/>
          <w:u w:val="none"/>
        </w:rPr>
      </w:pPr>
    </w:p>
    <w:p w:rsidR="00635EA9" w:rsidRDefault="00635EA9" w:rsidP="00635EA9">
      <w:pPr>
        <w:pStyle w:val="BodyText2"/>
        <w:rPr>
          <w:sz w:val="20"/>
        </w:rPr>
      </w:pPr>
      <w:r>
        <w:rPr>
          <w:sz w:val="20"/>
        </w:rPr>
        <w:t xml:space="preserve">A.   Examples &amp; Impacts of Problem/Issue: </w:t>
      </w:r>
    </w:p>
    <w:p w:rsidR="00635EA9" w:rsidRDefault="00635EA9" w:rsidP="00635EA9">
      <w:pPr>
        <w:pStyle w:val="BodyText2"/>
        <w:rPr>
          <w:sz w:val="20"/>
        </w:rPr>
      </w:pPr>
      <w:r>
        <w:rPr>
          <w:sz w:val="20"/>
        </w:rPr>
        <w:t xml:space="preserve">There are currently about </w:t>
      </w:r>
      <w:r>
        <w:rPr>
          <w:sz w:val="20"/>
          <w:u w:val="single"/>
        </w:rPr>
        <w:t>150,000</w:t>
      </w:r>
      <w:r>
        <w:rPr>
          <w:sz w:val="20"/>
        </w:rPr>
        <w:t xml:space="preserve"> Active or Pending SVs for the SPIDs that did not Onboard to iconectiv or are no longer in business. </w:t>
      </w:r>
    </w:p>
    <w:p w:rsidR="00635EA9" w:rsidRDefault="00635EA9" w:rsidP="00635EA9">
      <w:pPr>
        <w:pStyle w:val="BodyText2"/>
        <w:rPr>
          <w:sz w:val="20"/>
        </w:rPr>
      </w:pPr>
      <w:r>
        <w:rPr>
          <w:sz w:val="20"/>
        </w:rPr>
        <w:t>If no action is taken on this any Active TNs will not be released back to the Code Holder and Pending SVs will not be able to be ported and Numbering resources (NPA-NXX, NPA-NXX-X) may not be utilized efficiently.</w:t>
      </w:r>
    </w:p>
    <w:p w:rsidR="00635EA9" w:rsidRDefault="00635EA9" w:rsidP="00635EA9">
      <w:pPr>
        <w:pStyle w:val="BodyText2"/>
        <w:rPr>
          <w:sz w:val="20"/>
        </w:rPr>
      </w:pPr>
      <w:r>
        <w:rPr>
          <w:sz w:val="20"/>
        </w:rPr>
        <w:t>There are almost 900 NPA-NXX codes, over 600 LRNs, and over 500 NPA-NNX-X codes assigned to SPIDs that did not Onboard to iconectiv or are no longer in business.</w:t>
      </w:r>
    </w:p>
    <w:p w:rsidR="00A80521" w:rsidRDefault="00A80521" w:rsidP="00ED3DEE">
      <w:pPr>
        <w:pStyle w:val="BodyText2"/>
        <w:rPr>
          <w:sz w:val="20"/>
        </w:rPr>
      </w:pPr>
    </w:p>
    <w:p w:rsidR="00281F67" w:rsidRDefault="00281F67">
      <w:pPr>
        <w:rPr>
          <w:sz w:val="24"/>
        </w:rPr>
      </w:pPr>
    </w:p>
    <w:p w:rsidR="00635EA9" w:rsidRDefault="00635EA9" w:rsidP="00635EA9">
      <w:pPr>
        <w:pStyle w:val="BodyText2"/>
        <w:rPr>
          <w:sz w:val="20"/>
        </w:rPr>
      </w:pPr>
      <w:r>
        <w:rPr>
          <w:sz w:val="20"/>
        </w:rPr>
        <w:t xml:space="preserve">B.   Frequency of Occurrence: </w:t>
      </w:r>
    </w:p>
    <w:p w:rsidR="004A3C1E" w:rsidRDefault="00635EA9">
      <w:pPr>
        <w:pStyle w:val="BodyText2"/>
        <w:rPr>
          <w:sz w:val="20"/>
        </w:rPr>
      </w:pPr>
      <w:r>
        <w:rPr>
          <w:sz w:val="20"/>
        </w:rPr>
        <w:lastRenderedPageBreak/>
        <w:t>This problem occurred once during transition. However, going forward, there will be other companies that go out of business and this same proposed procedure/solution (below) would be followed by the LNPA to ensure best use of numbering resources and support for competitive porting.</w:t>
      </w:r>
    </w:p>
    <w:p w:rsidR="00A80521" w:rsidRDefault="00A80521">
      <w:pPr>
        <w:pStyle w:val="BodyText2"/>
        <w:rPr>
          <w:sz w:val="20"/>
        </w:rPr>
      </w:pPr>
    </w:p>
    <w:p w:rsidR="00281F67" w:rsidRDefault="00281F67">
      <w:pPr>
        <w:rPr>
          <w:sz w:val="24"/>
        </w:rPr>
      </w:pPr>
    </w:p>
    <w:p w:rsidR="00635EA9" w:rsidRDefault="00635EA9" w:rsidP="00635EA9">
      <w:pPr>
        <w:pStyle w:val="BodyText2"/>
        <w:numPr>
          <w:ilvl w:val="0"/>
          <w:numId w:val="12"/>
        </w:numPr>
        <w:rPr>
          <w:sz w:val="20"/>
        </w:rPr>
      </w:pPr>
      <w:r>
        <w:rPr>
          <w:sz w:val="20"/>
        </w:rPr>
        <w:t>NPAC Regions Impacted:</w:t>
      </w:r>
    </w:p>
    <w:p w:rsidR="00635EA9" w:rsidRDefault="00635EA9" w:rsidP="00635EA9">
      <w:pPr>
        <w:pStyle w:val="BodyText2"/>
        <w:rPr>
          <w:sz w:val="20"/>
        </w:rPr>
      </w:pPr>
      <w:r>
        <w:rPr>
          <w:sz w:val="20"/>
        </w:rPr>
        <w:t xml:space="preserve"> Mid Atlantic ___ Midwest___ Northeast___ Southeast___ Southwest___ Western___     </w:t>
      </w:r>
    </w:p>
    <w:p w:rsidR="00281F67" w:rsidRPr="00635EA9" w:rsidRDefault="00635EA9" w:rsidP="00635EA9">
      <w:pPr>
        <w:pStyle w:val="BodyText2"/>
        <w:rPr>
          <w:sz w:val="20"/>
          <w:u w:val="single"/>
        </w:rPr>
      </w:pPr>
      <w:r>
        <w:rPr>
          <w:sz w:val="20"/>
        </w:rPr>
        <w:t xml:space="preserve"> West Coast___   ALL </w:t>
      </w:r>
      <w:r>
        <w:rPr>
          <w:sz w:val="20"/>
          <w:u w:val="single"/>
        </w:rPr>
        <w:t>X</w:t>
      </w:r>
    </w:p>
    <w:p w:rsidR="00F17FA1" w:rsidRDefault="00F17FA1">
      <w:pPr>
        <w:rPr>
          <w:sz w:val="24"/>
        </w:rPr>
      </w:pPr>
    </w:p>
    <w:p w:rsidR="00281F67" w:rsidRDefault="00281F67">
      <w:pPr>
        <w:pStyle w:val="BodyText2"/>
        <w:rPr>
          <w:sz w:val="20"/>
        </w:rPr>
      </w:pPr>
      <w:r>
        <w:rPr>
          <w:sz w:val="20"/>
        </w:rPr>
        <w:t xml:space="preserve">D.  Rationale why existing process is deficient: </w:t>
      </w:r>
    </w:p>
    <w:p w:rsidR="00635EA9" w:rsidRDefault="00635EA9" w:rsidP="00635EA9">
      <w:pPr>
        <w:pStyle w:val="BodyText2"/>
        <w:rPr>
          <w:sz w:val="20"/>
        </w:rPr>
      </w:pPr>
      <w:r>
        <w:rPr>
          <w:sz w:val="20"/>
        </w:rPr>
        <w:t>There currently is no process in place for the cleanup of data associated with Not Onboarding or no longer in business SPIDs. The original goal was to remove SPIDs that are not onboarding or no longer in business to the iconectiv NPAC, but the presence of data does not allow for that to happen. Therefore, the data needs to be cleaned up in order to facilitate the removal of Not Onboarding or no longer in business SPIDs to take place. If no action is taken on this, Active TNs will not be released back to the Code Holder and Pending SVs will not be able to be ported and numbering resources may not be effective utilized.</w:t>
      </w:r>
    </w:p>
    <w:p w:rsidR="004A3C1E" w:rsidRDefault="00635EA9">
      <w:pPr>
        <w:pStyle w:val="BodyText2"/>
        <w:rPr>
          <w:sz w:val="20"/>
        </w:rPr>
      </w:pPr>
      <w:r>
        <w:rPr>
          <w:sz w:val="20"/>
        </w:rPr>
        <w:t>Note: The transition SPIDs that did not Onboard or were determined Out of Business do not have access to the iconectiv NPAC in any manner.</w:t>
      </w:r>
    </w:p>
    <w:p w:rsidR="00A80521" w:rsidRDefault="00A80521">
      <w:pPr>
        <w:pStyle w:val="BodyText2"/>
        <w:rPr>
          <w:sz w:val="20"/>
        </w:rPr>
      </w:pPr>
    </w:p>
    <w:p w:rsidR="00281F67" w:rsidRDefault="00281F67">
      <w:pPr>
        <w:rPr>
          <w:sz w:val="24"/>
        </w:rPr>
      </w:pPr>
    </w:p>
    <w:p w:rsidR="001C082F" w:rsidRDefault="00281F67">
      <w:pPr>
        <w:pStyle w:val="BodyText2"/>
        <w:rPr>
          <w:sz w:val="20"/>
        </w:rPr>
      </w:pPr>
      <w:r>
        <w:rPr>
          <w:sz w:val="20"/>
        </w:rPr>
        <w:t>E.   Identify action taken in other comm</w:t>
      </w:r>
      <w:r w:rsidR="001C082F">
        <w:rPr>
          <w:sz w:val="20"/>
        </w:rPr>
        <w:t xml:space="preserve">ittees / forums: </w:t>
      </w:r>
    </w:p>
    <w:p w:rsidR="004A3C1E" w:rsidRDefault="004A3C1E">
      <w:pPr>
        <w:pStyle w:val="BodyText2"/>
        <w:rPr>
          <w:sz w:val="20"/>
        </w:rPr>
      </w:pPr>
    </w:p>
    <w:p w:rsidR="00281F67" w:rsidRPr="00257EF2" w:rsidRDefault="00281F67">
      <w:pPr>
        <w:pStyle w:val="BodyText2"/>
        <w:rPr>
          <w:sz w:val="20"/>
        </w:rPr>
      </w:pPr>
    </w:p>
    <w:p w:rsidR="00281F67" w:rsidRDefault="00281F67">
      <w:pPr>
        <w:rPr>
          <w:sz w:val="24"/>
        </w:rPr>
      </w:pPr>
    </w:p>
    <w:p w:rsidR="00F17DA1" w:rsidRDefault="00281F67" w:rsidP="00F17DA1">
      <w:pPr>
        <w:pStyle w:val="BodyText2"/>
        <w:rPr>
          <w:sz w:val="20"/>
        </w:rPr>
      </w:pPr>
      <w:r>
        <w:rPr>
          <w:sz w:val="20"/>
        </w:rPr>
        <w:t xml:space="preserve">F.   Any other descriptive items: </w:t>
      </w:r>
    </w:p>
    <w:p w:rsidR="006E54DE" w:rsidRDefault="006E54DE" w:rsidP="00F17DA1">
      <w:pPr>
        <w:pStyle w:val="BodyText2"/>
        <w:rPr>
          <w:b/>
          <w:sz w:val="20"/>
          <w:u w:val="single"/>
        </w:rPr>
      </w:pPr>
    </w:p>
    <w:p w:rsidR="00412A3B" w:rsidRPr="00600CDD" w:rsidRDefault="00412A3B" w:rsidP="00F17DA1">
      <w:pPr>
        <w:pStyle w:val="BodyText2"/>
        <w:rPr>
          <w:b/>
          <w:sz w:val="20"/>
          <w:u w:val="single"/>
        </w:rPr>
      </w:pPr>
    </w:p>
    <w:p w:rsidR="00C141A7" w:rsidRDefault="00C141A7">
      <w:pPr>
        <w:rPr>
          <w:sz w:val="24"/>
        </w:rPr>
      </w:pPr>
    </w:p>
    <w:p w:rsidR="00281F67" w:rsidRDefault="00281F67">
      <w:pPr>
        <w:numPr>
          <w:ilvl w:val="0"/>
          <w:numId w:val="2"/>
        </w:numPr>
        <w:rPr>
          <w:sz w:val="24"/>
        </w:rPr>
      </w:pPr>
      <w:r>
        <w:rPr>
          <w:b/>
          <w:sz w:val="24"/>
        </w:rPr>
        <w:t>Suggested Resolution:</w:t>
      </w:r>
      <w:r>
        <w:rPr>
          <w:sz w:val="24"/>
        </w:rPr>
        <w:t xml:space="preserve"> </w:t>
      </w:r>
    </w:p>
    <w:p w:rsidR="00281F67" w:rsidRDefault="00281F67">
      <w:pPr>
        <w:rPr>
          <w:sz w:val="24"/>
        </w:rPr>
      </w:pPr>
    </w:p>
    <w:p w:rsidR="00635EA9" w:rsidRDefault="00635EA9" w:rsidP="00635EA9">
      <w:pPr>
        <w:pStyle w:val="BodyText2"/>
        <w:pBdr>
          <w:bottom w:val="single" w:sz="4" w:space="0" w:color="auto"/>
        </w:pBdr>
        <w:rPr>
          <w:sz w:val="20"/>
        </w:rPr>
      </w:pPr>
      <w:r>
        <w:rPr>
          <w:sz w:val="20"/>
        </w:rPr>
        <w:lastRenderedPageBreak/>
        <w:t xml:space="preserve">There should be </w:t>
      </w:r>
      <w:r w:rsidRPr="004D7322">
        <w:rPr>
          <w:sz w:val="20"/>
        </w:rPr>
        <w:t xml:space="preserve">a procedure </w:t>
      </w:r>
      <w:r>
        <w:rPr>
          <w:sz w:val="20"/>
        </w:rPr>
        <w:t xml:space="preserve">in place for SPIDs (Not Onboarding or out of business) with Active or Pending SVs, or LRNs, NPA-NXXs, and NPA-NXX-Xs, </w:t>
      </w:r>
      <w:r w:rsidRPr="004D7322">
        <w:rPr>
          <w:sz w:val="20"/>
        </w:rPr>
        <w:t>that includes:</w:t>
      </w:r>
    </w:p>
    <w:p w:rsidR="00635EA9" w:rsidRDefault="00635EA9" w:rsidP="00635EA9">
      <w:pPr>
        <w:pStyle w:val="BodyText2"/>
        <w:pBdr>
          <w:bottom w:val="single" w:sz="4" w:space="0" w:color="auto"/>
        </w:pBdr>
        <w:rPr>
          <w:sz w:val="20"/>
        </w:rPr>
      </w:pPr>
      <w:r w:rsidRPr="004D7322">
        <w:rPr>
          <w:sz w:val="20"/>
        </w:rPr>
        <w:t>-Releasing TNs that have been held can be snapped back to the Code Holder</w:t>
      </w:r>
      <w:r>
        <w:rPr>
          <w:sz w:val="20"/>
        </w:rPr>
        <w:t xml:space="preserve"> or Block Holder</w:t>
      </w:r>
    </w:p>
    <w:p w:rsidR="00635EA9" w:rsidRDefault="00635EA9" w:rsidP="00635EA9">
      <w:pPr>
        <w:pStyle w:val="BodyText2"/>
        <w:pBdr>
          <w:bottom w:val="single" w:sz="4" w:space="0" w:color="auto"/>
        </w:pBdr>
        <w:rPr>
          <w:sz w:val="20"/>
        </w:rPr>
      </w:pPr>
      <w:r>
        <w:rPr>
          <w:sz w:val="20"/>
        </w:rPr>
        <w:t>-Reassigning numbering resources</w:t>
      </w:r>
    </w:p>
    <w:p w:rsidR="00635EA9" w:rsidRPr="004D7322" w:rsidRDefault="00635EA9" w:rsidP="00635EA9">
      <w:pPr>
        <w:pStyle w:val="BodyText2"/>
        <w:pBdr>
          <w:bottom w:val="single" w:sz="4" w:space="0" w:color="auto"/>
        </w:pBdr>
        <w:rPr>
          <w:sz w:val="20"/>
        </w:rPr>
      </w:pPr>
      <w:r>
        <w:rPr>
          <w:sz w:val="20"/>
        </w:rPr>
        <w:t>to allow the (obsolete) SPID to be properly handled within the NPAC.</w:t>
      </w:r>
    </w:p>
    <w:p w:rsidR="00635EA9" w:rsidRPr="004D7322" w:rsidRDefault="00635EA9" w:rsidP="00635EA9">
      <w:pPr>
        <w:pStyle w:val="BodyText2"/>
        <w:pBdr>
          <w:bottom w:val="single" w:sz="4" w:space="0" w:color="auto"/>
        </w:pBdr>
        <w:rPr>
          <w:sz w:val="20"/>
        </w:rPr>
      </w:pPr>
    </w:p>
    <w:p w:rsidR="00635EA9" w:rsidRDefault="00635EA9" w:rsidP="00635EA9">
      <w:pPr>
        <w:pStyle w:val="BodyText2"/>
        <w:pBdr>
          <w:bottom w:val="single" w:sz="4" w:space="0" w:color="auto"/>
        </w:pBdr>
        <w:rPr>
          <w:sz w:val="20"/>
        </w:rPr>
      </w:pPr>
      <w:r>
        <w:rPr>
          <w:sz w:val="20"/>
        </w:rPr>
        <w:t>The LNPA</w:t>
      </w:r>
      <w:r w:rsidRPr="004D7322">
        <w:rPr>
          <w:sz w:val="20"/>
        </w:rPr>
        <w:t xml:space="preserve"> would like </w:t>
      </w:r>
      <w:r>
        <w:rPr>
          <w:sz w:val="20"/>
        </w:rPr>
        <w:t xml:space="preserve">to do an additional outreach </w:t>
      </w:r>
      <w:r w:rsidRPr="004D7322">
        <w:rPr>
          <w:sz w:val="20"/>
        </w:rPr>
        <w:t>via email to the in-busines</w:t>
      </w:r>
      <w:r>
        <w:rPr>
          <w:sz w:val="20"/>
        </w:rPr>
        <w:t xml:space="preserve">s/ reachable SPIDs that choose not to Onboard stating that some </w:t>
      </w:r>
      <w:r w:rsidRPr="004D7322">
        <w:rPr>
          <w:sz w:val="20"/>
        </w:rPr>
        <w:t xml:space="preserve">action will need to be taken within 30 days. </w:t>
      </w:r>
      <w:r>
        <w:rPr>
          <w:sz w:val="20"/>
        </w:rPr>
        <w:t xml:space="preserve">These companies have previously been notified of this situation. </w:t>
      </w:r>
      <w:r w:rsidRPr="004D7322">
        <w:rPr>
          <w:sz w:val="20"/>
        </w:rPr>
        <w:t xml:space="preserve">This will give </w:t>
      </w:r>
      <w:r>
        <w:rPr>
          <w:sz w:val="20"/>
        </w:rPr>
        <w:t>these companies</w:t>
      </w:r>
      <w:r w:rsidRPr="004D7322">
        <w:rPr>
          <w:sz w:val="20"/>
        </w:rPr>
        <w:t xml:space="preserve"> a</w:t>
      </w:r>
      <w:r>
        <w:rPr>
          <w:sz w:val="20"/>
        </w:rPr>
        <w:t>nother</w:t>
      </w:r>
      <w:r w:rsidRPr="004D7322">
        <w:rPr>
          <w:sz w:val="20"/>
        </w:rPr>
        <w:t xml:space="preserve"> ch</w:t>
      </w:r>
      <w:r>
        <w:rPr>
          <w:sz w:val="20"/>
        </w:rPr>
        <w:t>ance to proactively take action</w:t>
      </w:r>
      <w:r w:rsidR="00C66C52">
        <w:rPr>
          <w:sz w:val="20"/>
        </w:rPr>
        <w:t>. The LNPA</w:t>
      </w:r>
      <w:r w:rsidRPr="004D7322">
        <w:rPr>
          <w:sz w:val="20"/>
        </w:rPr>
        <w:t xml:space="preserve"> sugg</w:t>
      </w:r>
      <w:r>
        <w:rPr>
          <w:sz w:val="20"/>
        </w:rPr>
        <w:t xml:space="preserve">ests these service providers </w:t>
      </w:r>
      <w:r w:rsidRPr="004D7322">
        <w:rPr>
          <w:sz w:val="20"/>
        </w:rPr>
        <w:t xml:space="preserve">use the available channels (PA, NANPA) to address </w:t>
      </w:r>
      <w:r>
        <w:rPr>
          <w:sz w:val="20"/>
        </w:rPr>
        <w:t>the NPA-NXX and NPA-NXX-X codes.</w:t>
      </w:r>
    </w:p>
    <w:p w:rsidR="00635EA9" w:rsidRPr="004D7322" w:rsidRDefault="00635EA9" w:rsidP="00635EA9">
      <w:pPr>
        <w:pStyle w:val="BodyText2"/>
        <w:pBdr>
          <w:bottom w:val="single" w:sz="4" w:space="0" w:color="auto"/>
        </w:pBdr>
        <w:rPr>
          <w:sz w:val="20"/>
        </w:rPr>
      </w:pPr>
      <w:r w:rsidRPr="004D7322">
        <w:rPr>
          <w:sz w:val="20"/>
        </w:rPr>
        <w:t xml:space="preserve"> </w:t>
      </w:r>
    </w:p>
    <w:p w:rsidR="00635EA9" w:rsidRPr="006828C9" w:rsidRDefault="00635EA9" w:rsidP="00635EA9">
      <w:pPr>
        <w:pStyle w:val="BodyText2"/>
        <w:pBdr>
          <w:bottom w:val="single" w:sz="4" w:space="0" w:color="auto"/>
        </w:pBdr>
        <w:rPr>
          <w:sz w:val="20"/>
        </w:rPr>
      </w:pPr>
      <w:r w:rsidRPr="006828C9">
        <w:rPr>
          <w:sz w:val="20"/>
        </w:rPr>
        <w:t>The LNPA will work</w:t>
      </w:r>
      <w:r>
        <w:rPr>
          <w:sz w:val="20"/>
        </w:rPr>
        <w:t xml:space="preserve"> with any company thru the Account Management team to implement changes, such as Disconnects, Cancels, or SPID Migrations, since the company does not have access to the NPAC themselves.</w:t>
      </w:r>
    </w:p>
    <w:p w:rsidR="00635EA9" w:rsidRDefault="00635EA9" w:rsidP="00635EA9">
      <w:pPr>
        <w:pStyle w:val="BodyText2"/>
        <w:pBdr>
          <w:bottom w:val="single" w:sz="4" w:space="0" w:color="auto"/>
        </w:pBdr>
        <w:rPr>
          <w:color w:val="FF0000"/>
          <w:sz w:val="20"/>
        </w:rPr>
      </w:pPr>
    </w:p>
    <w:p w:rsidR="00635EA9" w:rsidRPr="00021ED4" w:rsidRDefault="00C66C52" w:rsidP="00635EA9">
      <w:pPr>
        <w:pStyle w:val="BodyText2"/>
        <w:pBdr>
          <w:bottom w:val="single" w:sz="4" w:space="0" w:color="auto"/>
        </w:pBdr>
        <w:rPr>
          <w:sz w:val="20"/>
        </w:rPr>
      </w:pPr>
      <w:r>
        <w:rPr>
          <w:sz w:val="20"/>
        </w:rPr>
        <w:t>The LNPA</w:t>
      </w:r>
      <w:r w:rsidR="00635EA9" w:rsidRPr="00021ED4">
        <w:rPr>
          <w:sz w:val="20"/>
        </w:rPr>
        <w:t xml:space="preserve"> will provide a list of impacted obsolete SPIDs (Out of Business and not reachable SPIDs and Not Onboarding)</w:t>
      </w:r>
      <w:r w:rsidR="00635EA9">
        <w:rPr>
          <w:sz w:val="20"/>
        </w:rPr>
        <w:t xml:space="preserve"> to the NANPA and PA for those groups to complete their defined due diligence.</w:t>
      </w:r>
    </w:p>
    <w:p w:rsidR="00635EA9" w:rsidRPr="00021ED4" w:rsidRDefault="00635EA9" w:rsidP="00635EA9">
      <w:pPr>
        <w:pStyle w:val="BodyText2"/>
        <w:pBdr>
          <w:bottom w:val="single" w:sz="4" w:space="0" w:color="auto"/>
        </w:pBdr>
        <w:rPr>
          <w:sz w:val="20"/>
        </w:rPr>
      </w:pPr>
    </w:p>
    <w:p w:rsidR="00635EA9" w:rsidRPr="00021ED4" w:rsidRDefault="00635EA9" w:rsidP="00635EA9">
      <w:pPr>
        <w:pStyle w:val="BodyText2"/>
        <w:pBdr>
          <w:bottom w:val="single" w:sz="4" w:space="0" w:color="auto"/>
        </w:pBdr>
        <w:rPr>
          <w:sz w:val="20"/>
        </w:rPr>
      </w:pPr>
      <w:r w:rsidRPr="00021ED4">
        <w:rPr>
          <w:sz w:val="20"/>
        </w:rPr>
        <w:t>In separate efforts, bot</w:t>
      </w:r>
      <w:r>
        <w:rPr>
          <w:sz w:val="20"/>
        </w:rPr>
        <w:t>h the NANPA and PA</w:t>
      </w:r>
      <w:r w:rsidRPr="00021ED4">
        <w:rPr>
          <w:sz w:val="20"/>
        </w:rPr>
        <w:t xml:space="preserve"> </w:t>
      </w:r>
      <w:r>
        <w:rPr>
          <w:sz w:val="20"/>
        </w:rPr>
        <w:t xml:space="preserve">do </w:t>
      </w:r>
      <w:r w:rsidRPr="00021ED4">
        <w:rPr>
          <w:sz w:val="20"/>
        </w:rPr>
        <w:t xml:space="preserve">contact </w:t>
      </w:r>
      <w:r w:rsidR="00C66C52">
        <w:rPr>
          <w:sz w:val="20"/>
        </w:rPr>
        <w:t>the LNPA</w:t>
      </w:r>
      <w:r w:rsidRPr="00021ED4">
        <w:rPr>
          <w:sz w:val="20"/>
        </w:rPr>
        <w:t xml:space="preserve"> on a</w:t>
      </w:r>
      <w:r>
        <w:rPr>
          <w:sz w:val="20"/>
        </w:rPr>
        <w:t>n</w:t>
      </w:r>
      <w:r w:rsidRPr="00021ED4">
        <w:rPr>
          <w:sz w:val="20"/>
        </w:rPr>
        <w:t xml:space="preserve"> as needed basis to verify NPAC records, which at times result in the removal of NPAC records. This includes </w:t>
      </w:r>
      <w:r>
        <w:rPr>
          <w:sz w:val="20"/>
        </w:rPr>
        <w:t xml:space="preserve">using </w:t>
      </w:r>
      <w:r w:rsidRPr="00021ED4">
        <w:rPr>
          <w:sz w:val="20"/>
        </w:rPr>
        <w:t xml:space="preserve">established industry processes, which involve both the NANPA and PA recovering relinquished and/or abandoned number resources. </w:t>
      </w:r>
    </w:p>
    <w:p w:rsidR="00635EA9" w:rsidRDefault="00635EA9" w:rsidP="00635EA9">
      <w:pPr>
        <w:pStyle w:val="BodyText2"/>
        <w:pBdr>
          <w:bottom w:val="single" w:sz="4" w:space="0" w:color="auto"/>
        </w:pBdr>
        <w:rPr>
          <w:sz w:val="20"/>
        </w:rPr>
      </w:pPr>
    </w:p>
    <w:p w:rsidR="00635EA9" w:rsidRDefault="00635EA9" w:rsidP="00635EA9">
      <w:pPr>
        <w:pStyle w:val="BodyText2"/>
        <w:pBdr>
          <w:bottom w:val="single" w:sz="4" w:space="0" w:color="auto"/>
        </w:pBdr>
        <w:rPr>
          <w:sz w:val="20"/>
        </w:rPr>
      </w:pPr>
      <w:r>
        <w:rPr>
          <w:sz w:val="20"/>
        </w:rPr>
        <w:t>Although such processes exist it appears there are many resources assigned to Company/SPIDs that</w:t>
      </w:r>
      <w:r w:rsidR="00C66C52">
        <w:rPr>
          <w:sz w:val="20"/>
        </w:rPr>
        <w:t xml:space="preserve"> the LNPA</w:t>
      </w:r>
      <w:r>
        <w:rPr>
          <w:sz w:val="20"/>
        </w:rPr>
        <w:t xml:space="preserve"> has determined are currently out of business and have not been determined otherwise by the other Administrators or the previous LNPA.</w:t>
      </w:r>
    </w:p>
    <w:p w:rsidR="00635EA9" w:rsidRDefault="00635EA9" w:rsidP="00635EA9">
      <w:pPr>
        <w:pStyle w:val="BodyText2"/>
        <w:pBdr>
          <w:bottom w:val="single" w:sz="4" w:space="0" w:color="auto"/>
        </w:pBdr>
        <w:rPr>
          <w:sz w:val="20"/>
        </w:rPr>
      </w:pPr>
      <w:r>
        <w:rPr>
          <w:sz w:val="20"/>
        </w:rPr>
        <w:t>Going forward the LNPA will attempt to be proactive in identifying companies/SPIDs that have gone out of business to engage in more timely data resolution.</w:t>
      </w:r>
    </w:p>
    <w:p w:rsidR="00635EA9" w:rsidRPr="004D7322" w:rsidRDefault="00635EA9" w:rsidP="00635EA9">
      <w:pPr>
        <w:pStyle w:val="BodyText2"/>
        <w:pBdr>
          <w:bottom w:val="single" w:sz="4" w:space="0" w:color="auto"/>
        </w:pBdr>
        <w:rPr>
          <w:sz w:val="20"/>
        </w:rPr>
      </w:pPr>
    </w:p>
    <w:p w:rsidR="00635EA9" w:rsidRDefault="00635EA9" w:rsidP="00635EA9">
      <w:pPr>
        <w:pStyle w:val="BodyText2"/>
        <w:pBdr>
          <w:bottom w:val="single" w:sz="4" w:space="0" w:color="auto"/>
        </w:pBdr>
        <w:rPr>
          <w:sz w:val="20"/>
        </w:rPr>
      </w:pPr>
      <w:r>
        <w:rPr>
          <w:sz w:val="20"/>
        </w:rPr>
        <w:t>The LNPA would like the LNPA TOSC</w:t>
      </w:r>
      <w:r w:rsidRPr="004D7322">
        <w:rPr>
          <w:sz w:val="20"/>
        </w:rPr>
        <w:t xml:space="preserve"> to prov</w:t>
      </w:r>
      <w:r>
        <w:rPr>
          <w:sz w:val="20"/>
        </w:rPr>
        <w:t>ide direction for the LNPA</w:t>
      </w:r>
      <w:r w:rsidRPr="004D7322">
        <w:rPr>
          <w:sz w:val="20"/>
        </w:rPr>
        <w:t xml:space="preserve"> to take actions on the data for the SPIDs that are Out of Business and are not r</w:t>
      </w:r>
      <w:r>
        <w:rPr>
          <w:sz w:val="20"/>
        </w:rPr>
        <w:t>eachable and SPIDs that were reached, but</w:t>
      </w:r>
      <w:r w:rsidRPr="004D7322">
        <w:rPr>
          <w:sz w:val="20"/>
        </w:rPr>
        <w:t xml:space="preserve"> did not onboard</w:t>
      </w:r>
      <w:r>
        <w:rPr>
          <w:sz w:val="20"/>
        </w:rPr>
        <w:t xml:space="preserve"> (by choice)</w:t>
      </w:r>
      <w:r w:rsidRPr="004D7322">
        <w:rPr>
          <w:sz w:val="20"/>
        </w:rPr>
        <w:t xml:space="preserve">, and have not cooperated in the data cleanup efforts. This cleanup will </w:t>
      </w:r>
      <w:bookmarkStart w:id="0" w:name="_GoBack"/>
      <w:bookmarkEnd w:id="0"/>
      <w:r w:rsidRPr="004D7322">
        <w:rPr>
          <w:sz w:val="20"/>
        </w:rPr>
        <w:lastRenderedPageBreak/>
        <w:t>be done once for the particular group of Not Onboarding or no longer in business SPIDs with Active or Pending SVs.</w:t>
      </w:r>
    </w:p>
    <w:p w:rsidR="00635EA9" w:rsidRDefault="00635EA9" w:rsidP="00635EA9">
      <w:pPr>
        <w:pStyle w:val="BodyText2"/>
        <w:pBdr>
          <w:bottom w:val="single" w:sz="4" w:space="0" w:color="auto"/>
        </w:pBdr>
        <w:rPr>
          <w:sz w:val="20"/>
        </w:rPr>
      </w:pPr>
    </w:p>
    <w:p w:rsidR="00A80521" w:rsidRPr="00635EA9" w:rsidRDefault="00635EA9" w:rsidP="00635EA9">
      <w:pPr>
        <w:pStyle w:val="BodyText2"/>
        <w:pBdr>
          <w:bottom w:val="single" w:sz="4" w:space="0" w:color="auto"/>
        </w:pBdr>
        <w:rPr>
          <w:sz w:val="20"/>
        </w:rPr>
      </w:pPr>
      <w:r>
        <w:rPr>
          <w:sz w:val="20"/>
        </w:rPr>
        <w:t xml:space="preserve">To support this activity, the LNPA TOSC will form a sub-team to focus on this subject to be chaired by Teresa Patton AT&amp;T. That team will be open to participants from the NANPA and PA. </w:t>
      </w:r>
    </w:p>
    <w:p w:rsidR="00281F67" w:rsidRDefault="00281F67">
      <w:pPr>
        <w:rPr>
          <w:sz w:val="24"/>
        </w:rPr>
      </w:pPr>
    </w:p>
    <w:p w:rsidR="00F07AA2" w:rsidRDefault="00F07AA2">
      <w:pPr>
        <w:rPr>
          <w:sz w:val="24"/>
        </w:rPr>
      </w:pPr>
    </w:p>
    <w:p w:rsidR="00F07AA2" w:rsidRDefault="00F07AA2">
      <w:pPr>
        <w:rPr>
          <w:sz w:val="24"/>
        </w:rPr>
      </w:pPr>
    </w:p>
    <w:p w:rsidR="00F07AA2" w:rsidRDefault="00F07AA2">
      <w:pPr>
        <w:rPr>
          <w:sz w:val="24"/>
        </w:rPr>
      </w:pPr>
    </w:p>
    <w:p w:rsidR="00F07AA2" w:rsidRDefault="00F07AA2">
      <w:pPr>
        <w:rPr>
          <w:sz w:val="24"/>
        </w:rPr>
      </w:pPr>
    </w:p>
    <w:p w:rsidR="00F07AA2" w:rsidRDefault="00F07AA2">
      <w:pPr>
        <w:rPr>
          <w:sz w:val="24"/>
        </w:rPr>
      </w:pPr>
    </w:p>
    <w:p w:rsidR="00913A91" w:rsidRPr="004F38B9" w:rsidRDefault="00913A91" w:rsidP="00913A91">
      <w:pPr>
        <w:numPr>
          <w:ilvl w:val="0"/>
          <w:numId w:val="2"/>
        </w:numPr>
        <w:rPr>
          <w:b/>
          <w:sz w:val="24"/>
        </w:rPr>
      </w:pPr>
      <w:r w:rsidRPr="004F38B9">
        <w:rPr>
          <w:b/>
          <w:sz w:val="24"/>
        </w:rPr>
        <w:t>Final Resolution:</w:t>
      </w:r>
    </w:p>
    <w:p w:rsidR="00913A91" w:rsidRPr="00913A91" w:rsidRDefault="00913A91" w:rsidP="00913A91">
      <w:pPr>
        <w:ind w:left="360"/>
        <w:rPr>
          <w:color w:val="0070C0"/>
          <w:sz w:val="24"/>
        </w:rPr>
      </w:pPr>
    </w:p>
    <w:p w:rsidR="00F07AA2" w:rsidRPr="003B6ED1" w:rsidRDefault="00C66C52" w:rsidP="00F07AA2">
      <w:pPr>
        <w:pBdr>
          <w:top w:val="single" w:sz="4" w:space="1" w:color="auto"/>
          <w:left w:val="single" w:sz="4" w:space="4" w:color="auto"/>
          <w:bottom w:val="single" w:sz="4" w:space="1" w:color="auto"/>
          <w:right w:val="single" w:sz="4" w:space="4" w:color="auto"/>
          <w:bar w:val="single" w:sz="4" w:color="auto"/>
        </w:pBdr>
      </w:pPr>
      <w:r>
        <w:t>The LNPA</w:t>
      </w:r>
      <w:r w:rsidR="00F07AA2" w:rsidRPr="003B6ED1">
        <w:t xml:space="preserve"> Account Management team collected and analyzed the scope of this Active Data: NPA-NXX codes, LRNs, NPA-NXX-X codes, SVs, NPBs.</w:t>
      </w:r>
    </w:p>
    <w:p w:rsidR="00F07AA2" w:rsidRPr="003B6ED1" w:rsidRDefault="00F07AA2" w:rsidP="00F07AA2">
      <w:pPr>
        <w:pBdr>
          <w:top w:val="single" w:sz="4" w:space="1" w:color="auto"/>
          <w:left w:val="single" w:sz="4" w:space="4" w:color="auto"/>
          <w:bottom w:val="single" w:sz="4" w:space="1" w:color="auto"/>
          <w:right w:val="single" w:sz="4" w:space="4" w:color="auto"/>
          <w:bar w:val="single" w:sz="4" w:color="auto"/>
        </w:pBdr>
      </w:pPr>
    </w:p>
    <w:p w:rsidR="00281F67" w:rsidRPr="003B6ED1" w:rsidRDefault="00F07AA2" w:rsidP="00F07AA2">
      <w:pPr>
        <w:pBdr>
          <w:top w:val="single" w:sz="4" w:space="1" w:color="auto"/>
          <w:left w:val="single" w:sz="4" w:space="4" w:color="auto"/>
          <w:bottom w:val="single" w:sz="4" w:space="1" w:color="auto"/>
          <w:right w:val="single" w:sz="4" w:space="4" w:color="auto"/>
          <w:bar w:val="single" w:sz="4" w:color="auto"/>
        </w:pBdr>
      </w:pPr>
      <w:r w:rsidRPr="003B6ED1">
        <w:t>The TOSC formed a sub-team which has reviewed the original analysis and provided a set of proposals (now closed Action Item 10102018-02) as to how further progress in data cleanup can be achieved. Other numbering administrators (NANPA, PA) have supported the sub-team.</w:t>
      </w:r>
    </w:p>
    <w:p w:rsidR="00F07AA2" w:rsidRPr="003B6ED1" w:rsidRDefault="00F07AA2" w:rsidP="00F07AA2">
      <w:pPr>
        <w:pBdr>
          <w:top w:val="single" w:sz="4" w:space="1" w:color="auto"/>
          <w:left w:val="single" w:sz="4" w:space="4" w:color="auto"/>
          <w:bottom w:val="single" w:sz="4" w:space="1" w:color="auto"/>
          <w:right w:val="single" w:sz="4" w:space="4" w:color="auto"/>
          <w:bar w:val="single" w:sz="4" w:color="auto"/>
        </w:pBdr>
      </w:pPr>
    </w:p>
    <w:p w:rsidR="00F07AA2" w:rsidRPr="00F50390" w:rsidRDefault="00F07AA2" w:rsidP="00F07AA2">
      <w:pPr>
        <w:pBdr>
          <w:top w:val="single" w:sz="4" w:space="1" w:color="auto"/>
          <w:left w:val="single" w:sz="4" w:space="4" w:color="auto"/>
          <w:bottom w:val="single" w:sz="4" w:space="1" w:color="auto"/>
          <w:right w:val="single" w:sz="4" w:space="4" w:color="auto"/>
          <w:bar w:val="single" w:sz="4" w:color="auto"/>
        </w:pBdr>
      </w:pPr>
      <w:r w:rsidRPr="00F50390">
        <w:t>The 150,000 Active or Pending SVs for the SPIDs that did not Onboard to iconectiv or were no longer in business has been reduced</w:t>
      </w:r>
      <w:r w:rsidR="001A453C" w:rsidRPr="00F50390">
        <w:t>, by disconnects causing snapbacks to the correct Code or Block Holder,</w:t>
      </w:r>
      <w:r w:rsidRPr="00F50390">
        <w:t xml:space="preserve"> to 25.5K LSPP/LISP and 60K POOL </w:t>
      </w:r>
      <w:r w:rsidR="003B6ED1" w:rsidRPr="00F50390">
        <w:t xml:space="preserve">SVs </w:t>
      </w:r>
      <w:r w:rsidRPr="00F50390">
        <w:t>amounting to a 43% resolution</w:t>
      </w:r>
      <w:r w:rsidR="004C56A5">
        <w:t xml:space="preserve"> </w:t>
      </w:r>
      <w:r w:rsidRPr="00F50390">
        <w:t xml:space="preserve">. In addition, </w:t>
      </w:r>
      <w:r w:rsidRPr="00F50390">
        <w:rPr>
          <w:bCs/>
          <w:iCs/>
        </w:rPr>
        <w:t>7</w:t>
      </w:r>
      <w:r w:rsidR="003B6ED1" w:rsidRPr="00F50390">
        <w:rPr>
          <w:bCs/>
          <w:iCs/>
        </w:rPr>
        <w:t>2</w:t>
      </w:r>
      <w:r w:rsidRPr="00F50390">
        <w:rPr>
          <w:bCs/>
          <w:iCs/>
        </w:rPr>
        <w:t>%</w:t>
      </w:r>
      <w:r w:rsidRPr="00F50390">
        <w:rPr>
          <w:iCs/>
        </w:rPr>
        <w:t xml:space="preserve"> of the </w:t>
      </w:r>
      <w:r w:rsidR="003B6ED1" w:rsidRPr="00F50390">
        <w:rPr>
          <w:iCs/>
        </w:rPr>
        <w:t xml:space="preserve">220 SPIDs that were </w:t>
      </w:r>
      <w:r w:rsidRPr="00F50390">
        <w:rPr>
          <w:iCs/>
        </w:rPr>
        <w:t>OOB/Did Not Onboard that had Active Data have been fully resolved.</w:t>
      </w:r>
      <w:r w:rsidR="003B6ED1" w:rsidRPr="00F50390">
        <w:rPr>
          <w:iCs/>
        </w:rPr>
        <w:t xml:space="preserve"> Additional metrics include a 74% resolution on NPA-NXX codes, decreasing from 876 to 227, a 95% resolution on LRNs, decreasing from 687 to 34, and a 50% resolution on NPA-NXX-Xs, decreasing from 124 to 62.</w:t>
      </w:r>
    </w:p>
    <w:p w:rsidR="00F07AA2" w:rsidRPr="00F50390" w:rsidRDefault="00F07AA2" w:rsidP="00F07AA2">
      <w:pPr>
        <w:pBdr>
          <w:top w:val="single" w:sz="4" w:space="1" w:color="auto"/>
          <w:left w:val="single" w:sz="4" w:space="4" w:color="auto"/>
          <w:bottom w:val="single" w:sz="4" w:space="1" w:color="auto"/>
          <w:right w:val="single" w:sz="4" w:space="4" w:color="auto"/>
          <w:bar w:val="single" w:sz="4" w:color="auto"/>
        </w:pBdr>
      </w:pPr>
    </w:p>
    <w:p w:rsidR="00F07AA2" w:rsidRPr="00F50390" w:rsidRDefault="00F07AA2" w:rsidP="00F07AA2">
      <w:pPr>
        <w:pBdr>
          <w:top w:val="single" w:sz="4" w:space="1" w:color="auto"/>
          <w:left w:val="single" w:sz="4" w:space="4" w:color="auto"/>
          <w:bottom w:val="single" w:sz="4" w:space="1" w:color="auto"/>
          <w:right w:val="single" w:sz="4" w:space="4" w:color="auto"/>
          <w:bar w:val="single" w:sz="4" w:color="auto"/>
        </w:pBdr>
      </w:pPr>
      <w:r w:rsidRPr="00F50390">
        <w:t xml:space="preserve">NANPA and PA will continue their processes and gradual updates are expected to </w:t>
      </w:r>
      <w:r w:rsidR="001A453C" w:rsidRPr="00F50390">
        <w:t xml:space="preserve">reflect in the NPAC. Once those updates occur action to remove the obsolete SPID will be implemented. </w:t>
      </w:r>
      <w:r w:rsidR="00C66C52">
        <w:t>The LNPA</w:t>
      </w:r>
      <w:r w:rsidRPr="00F50390">
        <w:t xml:space="preserve"> Account Management team will continue to monitor the Disconnect Pending SVs and once </w:t>
      </w:r>
      <w:r w:rsidRPr="00F50390">
        <w:lastRenderedPageBreak/>
        <w:t xml:space="preserve">any reach a state where they are cleared up – the Obsolete SPID </w:t>
      </w:r>
      <w:r w:rsidR="001A453C" w:rsidRPr="00F50390">
        <w:t xml:space="preserve">(Old SPID on the SV) </w:t>
      </w:r>
      <w:r w:rsidRPr="00F50390">
        <w:t>will be removed.</w:t>
      </w:r>
    </w:p>
    <w:p w:rsidR="00F07AA2" w:rsidRPr="00F50390" w:rsidRDefault="00C66C52" w:rsidP="00F50390">
      <w:pPr>
        <w:pBdr>
          <w:top w:val="single" w:sz="4" w:space="1" w:color="auto"/>
          <w:left w:val="single" w:sz="4" w:space="4" w:color="auto"/>
          <w:bottom w:val="single" w:sz="4" w:space="1" w:color="auto"/>
          <w:right w:val="single" w:sz="4" w:space="4" w:color="auto"/>
          <w:bar w:val="single" w:sz="4" w:color="auto"/>
        </w:pBdr>
        <w:rPr>
          <w:strike/>
        </w:rPr>
      </w:pPr>
      <w:r>
        <w:t>The LNPA</w:t>
      </w:r>
      <w:r w:rsidR="00F07AA2" w:rsidRPr="00F50390">
        <w:t xml:space="preserve"> Account Management team will also try again with the 1 company that has an Obsolete SPID populated in altSPID fields on many SVs. </w:t>
      </w:r>
    </w:p>
    <w:p w:rsidR="00F07AA2" w:rsidRPr="003B6ED1" w:rsidRDefault="00F07AA2" w:rsidP="00F07AA2">
      <w:pPr>
        <w:pBdr>
          <w:top w:val="single" w:sz="4" w:space="1" w:color="auto"/>
          <w:left w:val="single" w:sz="4" w:space="4" w:color="auto"/>
          <w:bottom w:val="single" w:sz="4" w:space="1" w:color="auto"/>
          <w:right w:val="single" w:sz="4" w:space="4" w:color="auto"/>
          <w:bar w:val="single" w:sz="4" w:color="auto"/>
        </w:pBdr>
      </w:pPr>
    </w:p>
    <w:p w:rsidR="00F07AA2" w:rsidRPr="003B6ED1" w:rsidRDefault="00F07AA2" w:rsidP="00F07AA2">
      <w:pPr>
        <w:pBdr>
          <w:top w:val="single" w:sz="4" w:space="1" w:color="auto"/>
          <w:left w:val="single" w:sz="4" w:space="4" w:color="auto"/>
          <w:bottom w:val="single" w:sz="4" w:space="1" w:color="auto"/>
          <w:right w:val="single" w:sz="4" w:space="4" w:color="auto"/>
          <w:bar w:val="single" w:sz="4" w:color="auto"/>
        </w:pBdr>
      </w:pPr>
      <w:r w:rsidRPr="003B6ED1">
        <w:t xml:space="preserve">The </w:t>
      </w:r>
      <w:r w:rsidR="00C66C52">
        <w:t xml:space="preserve">LNPA </w:t>
      </w:r>
      <w:r w:rsidRPr="003B6ED1">
        <w:t>Account Management team has already put in place a new Form that all NPAC Users can submit to document a change in their situation – such as service shutting down, merger, acquisition, etc. The form can be found on the Customer Portal in the Knowledge Base.</w:t>
      </w:r>
    </w:p>
    <w:p w:rsidR="00F07AA2" w:rsidRPr="003B6ED1" w:rsidRDefault="00F07AA2" w:rsidP="00F07AA2">
      <w:pPr>
        <w:pBdr>
          <w:top w:val="single" w:sz="4" w:space="1" w:color="auto"/>
          <w:left w:val="single" w:sz="4" w:space="4" w:color="auto"/>
          <w:bottom w:val="single" w:sz="4" w:space="1" w:color="auto"/>
          <w:right w:val="single" w:sz="4" w:space="4" w:color="auto"/>
          <w:bar w:val="single" w:sz="4" w:color="auto"/>
        </w:pBdr>
      </w:pPr>
    </w:p>
    <w:p w:rsidR="00F07AA2" w:rsidRPr="003B6ED1" w:rsidRDefault="00C66C52" w:rsidP="00F07AA2">
      <w:pPr>
        <w:pBdr>
          <w:top w:val="single" w:sz="4" w:space="1" w:color="auto"/>
          <w:left w:val="single" w:sz="4" w:space="4" w:color="auto"/>
          <w:bottom w:val="single" w:sz="4" w:space="1" w:color="auto"/>
          <w:right w:val="single" w:sz="4" w:space="4" w:color="auto"/>
          <w:bar w:val="single" w:sz="4" w:color="auto"/>
        </w:pBdr>
      </w:pPr>
      <w:r>
        <w:t>The LNPA</w:t>
      </w:r>
      <w:r w:rsidR="00F07AA2" w:rsidRPr="003B6ED1">
        <w:t xml:space="preserve"> will also put in place a regular review of available material to determine/deduce if a User may have gone out of business.</w:t>
      </w:r>
    </w:p>
    <w:p w:rsidR="00F07AA2" w:rsidRPr="003B6ED1" w:rsidRDefault="00F07AA2" w:rsidP="00F07AA2">
      <w:pPr>
        <w:pBdr>
          <w:top w:val="single" w:sz="4" w:space="1" w:color="auto"/>
          <w:left w:val="single" w:sz="4" w:space="4" w:color="auto"/>
          <w:bottom w:val="single" w:sz="4" w:space="1" w:color="auto"/>
          <w:right w:val="single" w:sz="4" w:space="4" w:color="auto"/>
          <w:bar w:val="single" w:sz="4" w:color="auto"/>
        </w:pBdr>
      </w:pPr>
      <w:r w:rsidRPr="003B6ED1">
        <w:t>Primary resources are: 499-A Filing, Invoice Status, Porting Status, Rejected Emails, Press Releases.</w:t>
      </w:r>
    </w:p>
    <w:p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rsidR="00913A91" w:rsidRDefault="00913A91">
      <w:pPr>
        <w:rPr>
          <w:sz w:val="24"/>
        </w:rPr>
      </w:pP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A6F2A">
        <w:rPr>
          <w:sz w:val="24"/>
        </w:rPr>
        <w:tab/>
      </w:r>
      <w:r w:rsidR="009A6F2A">
        <w:rPr>
          <w:sz w:val="24"/>
        </w:rPr>
        <w:tab/>
      </w:r>
      <w:r w:rsidR="009A6F2A">
        <w:rPr>
          <w:sz w:val="24"/>
        </w:rPr>
        <w:tab/>
      </w:r>
      <w:r w:rsidR="009A6F2A">
        <w:rPr>
          <w:sz w:val="24"/>
        </w:rPr>
        <w:tab/>
        <w:t>Final Resolution Date:</w:t>
      </w:r>
      <w:r w:rsidR="004142E3">
        <w:rPr>
          <w:sz w:val="24"/>
        </w:rPr>
        <w:t xml:space="preserve"> </w:t>
      </w:r>
      <w:r w:rsidR="004C56A5">
        <w:rPr>
          <w:sz w:val="24"/>
        </w:rPr>
        <w:t>9/10/2019</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437DB6">
        <w:rPr>
          <w:sz w:val="24"/>
        </w:rPr>
        <w:t>PIM</w:t>
      </w:r>
      <w:r w:rsidR="00913A91">
        <w:rPr>
          <w:sz w:val="24"/>
        </w:rPr>
        <w:t xml:space="preserve"> #</w:t>
      </w:r>
      <w:r w:rsidR="00913A91">
        <w:rPr>
          <w:sz w:val="24"/>
        </w:rPr>
        <w:tab/>
      </w:r>
      <w:r w:rsidR="004C56A5">
        <w:rPr>
          <w:sz w:val="24"/>
        </w:rPr>
        <w:t>118</w:t>
      </w:r>
      <w:r w:rsidR="00913A91">
        <w:rPr>
          <w:sz w:val="24"/>
        </w:rPr>
        <w:tab/>
      </w:r>
      <w:r w:rsidR="00913A91">
        <w:rPr>
          <w:sz w:val="24"/>
        </w:rPr>
        <w:tab/>
      </w:r>
      <w:r w:rsidR="00913A91">
        <w:rPr>
          <w:sz w:val="24"/>
        </w:rPr>
        <w:tab/>
      </w:r>
      <w:r w:rsidR="00913A91" w:rsidRPr="009A6F2A">
        <w:rPr>
          <w:sz w:val="24"/>
        </w:rPr>
        <w:t>Related Documents:</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281F67" w:rsidRDefault="00281F67">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281F67">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6A" w:rsidRDefault="0062266A">
      <w:r>
        <w:separator/>
      </w:r>
    </w:p>
  </w:endnote>
  <w:endnote w:type="continuationSeparator" w:id="0">
    <w:p w:rsidR="0062266A" w:rsidRDefault="0062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024">
      <w:rPr>
        <w:rStyle w:val="PageNumber"/>
        <w:noProof/>
      </w:rPr>
      <w:t>3</w:t>
    </w:r>
    <w:r>
      <w:rPr>
        <w:rStyle w:val="PageNumber"/>
      </w:rPr>
      <w:fldChar w:fldCharType="end"/>
    </w:r>
  </w:p>
  <w:p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6A" w:rsidRDefault="0062266A">
      <w:r>
        <w:separator/>
      </w:r>
    </w:p>
  </w:footnote>
  <w:footnote w:type="continuationSeparator" w:id="0">
    <w:p w:rsidR="0062266A" w:rsidRDefault="0062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 w:numId="12">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4E"/>
    <w:rsid w:val="00014278"/>
    <w:rsid w:val="000161BF"/>
    <w:rsid w:val="000628C3"/>
    <w:rsid w:val="00066FB5"/>
    <w:rsid w:val="000870ED"/>
    <w:rsid w:val="0009434D"/>
    <w:rsid w:val="000968EB"/>
    <w:rsid w:val="000C16CD"/>
    <w:rsid w:val="000C58C0"/>
    <w:rsid w:val="00131143"/>
    <w:rsid w:val="00145BB3"/>
    <w:rsid w:val="00151109"/>
    <w:rsid w:val="00195B4E"/>
    <w:rsid w:val="001A1A5E"/>
    <w:rsid w:val="001A3888"/>
    <w:rsid w:val="001A3C72"/>
    <w:rsid w:val="001A453C"/>
    <w:rsid w:val="001A68D0"/>
    <w:rsid w:val="001A7515"/>
    <w:rsid w:val="001B569F"/>
    <w:rsid w:val="001C082F"/>
    <w:rsid w:val="001C2986"/>
    <w:rsid w:val="00216184"/>
    <w:rsid w:val="002171A6"/>
    <w:rsid w:val="0022720C"/>
    <w:rsid w:val="0025574E"/>
    <w:rsid w:val="00257EF2"/>
    <w:rsid w:val="00280E29"/>
    <w:rsid w:val="00281F67"/>
    <w:rsid w:val="002A4C42"/>
    <w:rsid w:val="002A7914"/>
    <w:rsid w:val="002B2AE1"/>
    <w:rsid w:val="002F3E9A"/>
    <w:rsid w:val="00306219"/>
    <w:rsid w:val="0031054B"/>
    <w:rsid w:val="0031113B"/>
    <w:rsid w:val="00337B71"/>
    <w:rsid w:val="00341024"/>
    <w:rsid w:val="00352941"/>
    <w:rsid w:val="003659F2"/>
    <w:rsid w:val="00370673"/>
    <w:rsid w:val="0037170E"/>
    <w:rsid w:val="003A0FDF"/>
    <w:rsid w:val="003B6ED1"/>
    <w:rsid w:val="003C1C0E"/>
    <w:rsid w:val="003D5498"/>
    <w:rsid w:val="003E2319"/>
    <w:rsid w:val="003F7544"/>
    <w:rsid w:val="004116B9"/>
    <w:rsid w:val="00412A3B"/>
    <w:rsid w:val="004142E3"/>
    <w:rsid w:val="00415B72"/>
    <w:rsid w:val="00417A65"/>
    <w:rsid w:val="00437CC9"/>
    <w:rsid w:val="00437DB6"/>
    <w:rsid w:val="00446F03"/>
    <w:rsid w:val="004561C3"/>
    <w:rsid w:val="004562A8"/>
    <w:rsid w:val="004608A1"/>
    <w:rsid w:val="00474C1E"/>
    <w:rsid w:val="00476277"/>
    <w:rsid w:val="004800C1"/>
    <w:rsid w:val="00492898"/>
    <w:rsid w:val="004A121B"/>
    <w:rsid w:val="004A2BF2"/>
    <w:rsid w:val="004A3C1E"/>
    <w:rsid w:val="004B4809"/>
    <w:rsid w:val="004C30C6"/>
    <w:rsid w:val="004C4A7F"/>
    <w:rsid w:val="004C56A5"/>
    <w:rsid w:val="004C623F"/>
    <w:rsid w:val="004C7622"/>
    <w:rsid w:val="004D1512"/>
    <w:rsid w:val="004D4692"/>
    <w:rsid w:val="004E3A96"/>
    <w:rsid w:val="004E5BAA"/>
    <w:rsid w:val="004F38B9"/>
    <w:rsid w:val="0050353A"/>
    <w:rsid w:val="005209A1"/>
    <w:rsid w:val="0053363B"/>
    <w:rsid w:val="00537F06"/>
    <w:rsid w:val="005511C4"/>
    <w:rsid w:val="00551757"/>
    <w:rsid w:val="00565B84"/>
    <w:rsid w:val="00582722"/>
    <w:rsid w:val="005A61A9"/>
    <w:rsid w:val="005B655C"/>
    <w:rsid w:val="005C5432"/>
    <w:rsid w:val="005E0106"/>
    <w:rsid w:val="00600CDD"/>
    <w:rsid w:val="006138FF"/>
    <w:rsid w:val="0062266A"/>
    <w:rsid w:val="00635EA9"/>
    <w:rsid w:val="00640982"/>
    <w:rsid w:val="00641B71"/>
    <w:rsid w:val="00675A29"/>
    <w:rsid w:val="00682CB4"/>
    <w:rsid w:val="00683644"/>
    <w:rsid w:val="006B52D5"/>
    <w:rsid w:val="006B6D23"/>
    <w:rsid w:val="006D6A82"/>
    <w:rsid w:val="006E54DE"/>
    <w:rsid w:val="00711774"/>
    <w:rsid w:val="007150F7"/>
    <w:rsid w:val="007203B0"/>
    <w:rsid w:val="00721650"/>
    <w:rsid w:val="00724C3A"/>
    <w:rsid w:val="00725E0A"/>
    <w:rsid w:val="00746ED5"/>
    <w:rsid w:val="007559E6"/>
    <w:rsid w:val="00765938"/>
    <w:rsid w:val="0077467C"/>
    <w:rsid w:val="0078713F"/>
    <w:rsid w:val="00796AA5"/>
    <w:rsid w:val="007A6F81"/>
    <w:rsid w:val="007B5132"/>
    <w:rsid w:val="007C5589"/>
    <w:rsid w:val="007D0CD7"/>
    <w:rsid w:val="007E7DBC"/>
    <w:rsid w:val="007F5624"/>
    <w:rsid w:val="00811768"/>
    <w:rsid w:val="008139A6"/>
    <w:rsid w:val="00813A94"/>
    <w:rsid w:val="008307C3"/>
    <w:rsid w:val="00834C1D"/>
    <w:rsid w:val="0083598C"/>
    <w:rsid w:val="0087167B"/>
    <w:rsid w:val="00886D22"/>
    <w:rsid w:val="00892EE7"/>
    <w:rsid w:val="008A2443"/>
    <w:rsid w:val="008B20C3"/>
    <w:rsid w:val="008B3CA9"/>
    <w:rsid w:val="008C23E1"/>
    <w:rsid w:val="008C5A62"/>
    <w:rsid w:val="008E6752"/>
    <w:rsid w:val="008F6CA8"/>
    <w:rsid w:val="00905BA4"/>
    <w:rsid w:val="00913A91"/>
    <w:rsid w:val="00922824"/>
    <w:rsid w:val="00924312"/>
    <w:rsid w:val="00935380"/>
    <w:rsid w:val="00937D3A"/>
    <w:rsid w:val="0097484E"/>
    <w:rsid w:val="009821DE"/>
    <w:rsid w:val="0099315E"/>
    <w:rsid w:val="009A3FDA"/>
    <w:rsid w:val="009A6576"/>
    <w:rsid w:val="009A6F2A"/>
    <w:rsid w:val="009B3B8A"/>
    <w:rsid w:val="009C3970"/>
    <w:rsid w:val="009F1E2D"/>
    <w:rsid w:val="00A04B52"/>
    <w:rsid w:val="00A1613B"/>
    <w:rsid w:val="00A31915"/>
    <w:rsid w:val="00A367DE"/>
    <w:rsid w:val="00A654CC"/>
    <w:rsid w:val="00A80521"/>
    <w:rsid w:val="00A92628"/>
    <w:rsid w:val="00A92A53"/>
    <w:rsid w:val="00AB4F4D"/>
    <w:rsid w:val="00AB7D35"/>
    <w:rsid w:val="00AD0742"/>
    <w:rsid w:val="00AD34DF"/>
    <w:rsid w:val="00AD6BAB"/>
    <w:rsid w:val="00AE146F"/>
    <w:rsid w:val="00AF3494"/>
    <w:rsid w:val="00AF4878"/>
    <w:rsid w:val="00AF5566"/>
    <w:rsid w:val="00B104E0"/>
    <w:rsid w:val="00B1558D"/>
    <w:rsid w:val="00B159A7"/>
    <w:rsid w:val="00B16D3B"/>
    <w:rsid w:val="00B26708"/>
    <w:rsid w:val="00B616D9"/>
    <w:rsid w:val="00B7537D"/>
    <w:rsid w:val="00BD0B37"/>
    <w:rsid w:val="00BD4651"/>
    <w:rsid w:val="00C12BFE"/>
    <w:rsid w:val="00C141A7"/>
    <w:rsid w:val="00C20F56"/>
    <w:rsid w:val="00C41C85"/>
    <w:rsid w:val="00C42E70"/>
    <w:rsid w:val="00C43174"/>
    <w:rsid w:val="00C66C52"/>
    <w:rsid w:val="00C7240A"/>
    <w:rsid w:val="00C75DD2"/>
    <w:rsid w:val="00C84E1B"/>
    <w:rsid w:val="00C94648"/>
    <w:rsid w:val="00CA560F"/>
    <w:rsid w:val="00CB0F5C"/>
    <w:rsid w:val="00CB397B"/>
    <w:rsid w:val="00CC3A53"/>
    <w:rsid w:val="00CD0697"/>
    <w:rsid w:val="00CD46D6"/>
    <w:rsid w:val="00CD789A"/>
    <w:rsid w:val="00CE4C62"/>
    <w:rsid w:val="00D02047"/>
    <w:rsid w:val="00D17291"/>
    <w:rsid w:val="00D2003D"/>
    <w:rsid w:val="00D26870"/>
    <w:rsid w:val="00D32580"/>
    <w:rsid w:val="00D41312"/>
    <w:rsid w:val="00D41C7B"/>
    <w:rsid w:val="00D4478F"/>
    <w:rsid w:val="00D5102B"/>
    <w:rsid w:val="00D5179D"/>
    <w:rsid w:val="00D754B7"/>
    <w:rsid w:val="00D84164"/>
    <w:rsid w:val="00D8546B"/>
    <w:rsid w:val="00D91678"/>
    <w:rsid w:val="00DA055F"/>
    <w:rsid w:val="00DC4534"/>
    <w:rsid w:val="00DC732E"/>
    <w:rsid w:val="00DD2265"/>
    <w:rsid w:val="00DD451A"/>
    <w:rsid w:val="00DE6660"/>
    <w:rsid w:val="00DE6A7F"/>
    <w:rsid w:val="00DF6452"/>
    <w:rsid w:val="00DF7A12"/>
    <w:rsid w:val="00E565EA"/>
    <w:rsid w:val="00E80D4E"/>
    <w:rsid w:val="00E91435"/>
    <w:rsid w:val="00ED1CD2"/>
    <w:rsid w:val="00ED3DEE"/>
    <w:rsid w:val="00ED6303"/>
    <w:rsid w:val="00F02BA7"/>
    <w:rsid w:val="00F07AA2"/>
    <w:rsid w:val="00F17DA1"/>
    <w:rsid w:val="00F17FA1"/>
    <w:rsid w:val="00F50390"/>
    <w:rsid w:val="00F5197E"/>
    <w:rsid w:val="00F60481"/>
    <w:rsid w:val="00F62328"/>
    <w:rsid w:val="00F65283"/>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link w:val="BodyText2Char"/>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 w:type="character" w:customStyle="1" w:styleId="BodyText2Char">
    <w:name w:val="Body Text 2 Char"/>
    <w:basedOn w:val="DefaultParagraphFont"/>
    <w:link w:val="BodyText2"/>
    <w:semiHidden/>
    <w:rsid w:val="00635E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8931">
      <w:bodyDiv w:val="1"/>
      <w:marLeft w:val="0"/>
      <w:marRight w:val="0"/>
      <w:marTop w:val="0"/>
      <w:marBottom w:val="0"/>
      <w:divBdr>
        <w:top w:val="none" w:sz="0" w:space="0" w:color="auto"/>
        <w:left w:val="none" w:sz="0" w:space="0" w:color="auto"/>
        <w:bottom w:val="none" w:sz="0" w:space="0" w:color="auto"/>
        <w:right w:val="none" w:sz="0" w:space="0" w:color="auto"/>
      </w:divBdr>
      <w:divsChild>
        <w:div w:id="332686683">
          <w:marLeft w:val="360"/>
          <w:marRight w:val="0"/>
          <w:marTop w:val="200"/>
          <w:marBottom w:val="0"/>
          <w:divBdr>
            <w:top w:val="none" w:sz="0" w:space="0" w:color="auto"/>
            <w:left w:val="none" w:sz="0" w:space="0" w:color="auto"/>
            <w:bottom w:val="none" w:sz="0" w:space="0" w:color="auto"/>
            <w:right w:val="none" w:sz="0" w:space="0" w:color="auto"/>
          </w:divBdr>
        </w:div>
      </w:divsChild>
    </w:div>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522862885">
      <w:bodyDiv w:val="1"/>
      <w:marLeft w:val="0"/>
      <w:marRight w:val="0"/>
      <w:marTop w:val="0"/>
      <w:marBottom w:val="0"/>
      <w:divBdr>
        <w:top w:val="none" w:sz="0" w:space="0" w:color="auto"/>
        <w:left w:val="none" w:sz="0" w:space="0" w:color="auto"/>
        <w:bottom w:val="none" w:sz="0" w:space="0" w:color="auto"/>
        <w:right w:val="none" w:sz="0" w:space="0" w:color="auto"/>
      </w:divBdr>
    </w:div>
    <w:div w:id="535392180">
      <w:bodyDiv w:val="1"/>
      <w:marLeft w:val="0"/>
      <w:marRight w:val="0"/>
      <w:marTop w:val="0"/>
      <w:marBottom w:val="0"/>
      <w:divBdr>
        <w:top w:val="none" w:sz="0" w:space="0" w:color="auto"/>
        <w:left w:val="none" w:sz="0" w:space="0" w:color="auto"/>
        <w:bottom w:val="none" w:sz="0" w:space="0" w:color="auto"/>
        <w:right w:val="none" w:sz="0" w:space="0" w:color="auto"/>
      </w:divBdr>
      <w:divsChild>
        <w:div w:id="1114637946">
          <w:marLeft w:val="360"/>
          <w:marRight w:val="0"/>
          <w:marTop w:val="200"/>
          <w:marBottom w:val="0"/>
          <w:divBdr>
            <w:top w:val="none" w:sz="0" w:space="0" w:color="auto"/>
            <w:left w:val="none" w:sz="0" w:space="0" w:color="auto"/>
            <w:bottom w:val="none" w:sz="0" w:space="0" w:color="auto"/>
            <w:right w:val="none" w:sz="0" w:space="0" w:color="auto"/>
          </w:divBdr>
        </w:div>
        <w:div w:id="1520700967">
          <w:marLeft w:val="360"/>
          <w:marRight w:val="0"/>
          <w:marTop w:val="200"/>
          <w:marBottom w:val="0"/>
          <w:divBdr>
            <w:top w:val="none" w:sz="0" w:space="0" w:color="auto"/>
            <w:left w:val="none" w:sz="0" w:space="0" w:color="auto"/>
            <w:bottom w:val="none" w:sz="0" w:space="0" w:color="auto"/>
            <w:right w:val="none" w:sz="0" w:space="0" w:color="auto"/>
          </w:divBdr>
        </w:div>
        <w:div w:id="292978381">
          <w:marLeft w:val="1080"/>
          <w:marRight w:val="0"/>
          <w:marTop w:val="100"/>
          <w:marBottom w:val="0"/>
          <w:divBdr>
            <w:top w:val="none" w:sz="0" w:space="0" w:color="auto"/>
            <w:left w:val="none" w:sz="0" w:space="0" w:color="auto"/>
            <w:bottom w:val="none" w:sz="0" w:space="0" w:color="auto"/>
            <w:right w:val="none" w:sz="0" w:space="0" w:color="auto"/>
          </w:divBdr>
        </w:div>
      </w:divsChild>
    </w:div>
    <w:div w:id="582763541">
      <w:bodyDiv w:val="1"/>
      <w:marLeft w:val="0"/>
      <w:marRight w:val="0"/>
      <w:marTop w:val="0"/>
      <w:marBottom w:val="0"/>
      <w:divBdr>
        <w:top w:val="none" w:sz="0" w:space="0" w:color="auto"/>
        <w:left w:val="none" w:sz="0" w:space="0" w:color="auto"/>
        <w:bottom w:val="none" w:sz="0" w:space="0" w:color="auto"/>
        <w:right w:val="none" w:sz="0" w:space="0" w:color="auto"/>
      </w:divBdr>
    </w:div>
    <w:div w:id="747769808">
      <w:bodyDiv w:val="1"/>
      <w:marLeft w:val="0"/>
      <w:marRight w:val="0"/>
      <w:marTop w:val="0"/>
      <w:marBottom w:val="0"/>
      <w:divBdr>
        <w:top w:val="none" w:sz="0" w:space="0" w:color="auto"/>
        <w:left w:val="none" w:sz="0" w:space="0" w:color="auto"/>
        <w:bottom w:val="none" w:sz="0" w:space="0" w:color="auto"/>
        <w:right w:val="none" w:sz="0" w:space="0" w:color="auto"/>
      </w:divBdr>
    </w:div>
    <w:div w:id="895358479">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111630295">
      <w:bodyDiv w:val="1"/>
      <w:marLeft w:val="0"/>
      <w:marRight w:val="0"/>
      <w:marTop w:val="0"/>
      <w:marBottom w:val="0"/>
      <w:divBdr>
        <w:top w:val="none" w:sz="0" w:space="0" w:color="auto"/>
        <w:left w:val="none" w:sz="0" w:space="0" w:color="auto"/>
        <w:bottom w:val="none" w:sz="0" w:space="0" w:color="auto"/>
        <w:right w:val="none" w:sz="0" w:space="0" w:color="auto"/>
      </w:divBdr>
    </w:div>
    <w:div w:id="1209344886">
      <w:bodyDiv w:val="1"/>
      <w:marLeft w:val="0"/>
      <w:marRight w:val="0"/>
      <w:marTop w:val="0"/>
      <w:marBottom w:val="0"/>
      <w:divBdr>
        <w:top w:val="none" w:sz="0" w:space="0" w:color="auto"/>
        <w:left w:val="none" w:sz="0" w:space="0" w:color="auto"/>
        <w:bottom w:val="none" w:sz="0" w:space="0" w:color="auto"/>
        <w:right w:val="none" w:sz="0" w:space="0" w:color="auto"/>
      </w:divBdr>
    </w:div>
    <w:div w:id="1218587184">
      <w:bodyDiv w:val="1"/>
      <w:marLeft w:val="0"/>
      <w:marRight w:val="0"/>
      <w:marTop w:val="0"/>
      <w:marBottom w:val="0"/>
      <w:divBdr>
        <w:top w:val="none" w:sz="0" w:space="0" w:color="auto"/>
        <w:left w:val="none" w:sz="0" w:space="0" w:color="auto"/>
        <w:bottom w:val="none" w:sz="0" w:space="0" w:color="auto"/>
        <w:right w:val="none" w:sz="0" w:space="0" w:color="auto"/>
      </w:divBdr>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 w:id="17892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2</cp:revision>
  <cp:lastPrinted>1999-05-19T19:58:00Z</cp:lastPrinted>
  <dcterms:created xsi:type="dcterms:W3CDTF">2019-09-11T12:29:00Z</dcterms:created>
  <dcterms:modified xsi:type="dcterms:W3CDTF">2019-09-11T12:29:00Z</dcterms:modified>
</cp:coreProperties>
</file>