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Pr="00733B80"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w:t>
      </w:r>
      <w:proofErr w:type="spellStart"/>
      <w:r w:rsidR="00926697">
        <w:rPr>
          <w:sz w:val="24"/>
        </w:rPr>
        <w:t>dd</w:t>
      </w:r>
      <w:proofErr w:type="spellEnd"/>
      <w:r w:rsidR="00926697">
        <w:rPr>
          <w:sz w:val="24"/>
        </w:rPr>
        <w:t>/</w:t>
      </w:r>
      <w:proofErr w:type="spellStart"/>
      <w:r w:rsidR="00926697">
        <w:rPr>
          <w:sz w:val="24"/>
        </w:rPr>
        <w:t>yyyy</w:t>
      </w:r>
      <w:proofErr w:type="spellEnd"/>
      <w:r w:rsidR="00926697">
        <w:rPr>
          <w:sz w:val="24"/>
        </w:rPr>
        <w:t xml:space="preserve">):  </w:t>
      </w:r>
      <w:r w:rsidR="00926697" w:rsidRPr="00733B80">
        <w:rPr>
          <w:sz w:val="24"/>
        </w:rPr>
        <w:t>0</w:t>
      </w:r>
      <w:r w:rsidR="00401DA4" w:rsidRPr="00733B80">
        <w:rPr>
          <w:sz w:val="24"/>
        </w:rPr>
        <w:t>9</w:t>
      </w:r>
      <w:r w:rsidR="000B56B9" w:rsidRPr="00733B80">
        <w:rPr>
          <w:sz w:val="24"/>
        </w:rPr>
        <w:t>/</w:t>
      </w:r>
      <w:r w:rsidR="006253DD">
        <w:rPr>
          <w:sz w:val="24"/>
        </w:rPr>
        <w:t>11</w:t>
      </w:r>
      <w:r w:rsidR="000B56B9" w:rsidRPr="00733B80">
        <w:rPr>
          <w:sz w:val="24"/>
        </w:rPr>
        <w:t>/20</w:t>
      </w:r>
      <w:r w:rsidR="00926697" w:rsidRPr="00733B80">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871306">
        <w:rPr>
          <w:sz w:val="24"/>
        </w:rPr>
        <w:t>George Tsacnaris</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871306">
        <w:rPr>
          <w:sz w:val="24"/>
        </w:rPr>
        <w:t>7627</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871306">
        <w:rPr>
          <w:sz w:val="24"/>
        </w:rPr>
        <w:t>gtsacnaris</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401DA4" w:rsidRDefault="007B0019">
      <w:pPr>
        <w:pStyle w:val="BodyText2"/>
        <w:rPr>
          <w:color w:val="0D0D0D"/>
          <w:sz w:val="22"/>
          <w:szCs w:val="22"/>
        </w:rPr>
      </w:pPr>
      <w:r>
        <w:rPr>
          <w:color w:val="0D0D0D"/>
          <w:sz w:val="22"/>
          <w:szCs w:val="22"/>
        </w:rPr>
        <w:t xml:space="preserve">The Alternate SPID </w:t>
      </w:r>
      <w:r w:rsidR="00401DA4">
        <w:rPr>
          <w:color w:val="0D0D0D"/>
          <w:sz w:val="22"/>
          <w:szCs w:val="22"/>
        </w:rPr>
        <w:t xml:space="preserve">attribute </w:t>
      </w:r>
      <w:r>
        <w:rPr>
          <w:color w:val="0D0D0D"/>
          <w:sz w:val="22"/>
          <w:szCs w:val="22"/>
        </w:rPr>
        <w:t xml:space="preserve">was introduced in NANC 399 in Release </w:t>
      </w:r>
      <w:r w:rsidR="00473546">
        <w:rPr>
          <w:color w:val="0D0D0D"/>
          <w:sz w:val="22"/>
          <w:szCs w:val="22"/>
        </w:rPr>
        <w:t xml:space="preserve">3.3. </w:t>
      </w:r>
    </w:p>
    <w:p w:rsidR="007B0019" w:rsidRDefault="00473546">
      <w:pPr>
        <w:pStyle w:val="BodyText2"/>
        <w:rPr>
          <w:color w:val="0D0D0D"/>
          <w:sz w:val="22"/>
          <w:szCs w:val="22"/>
        </w:rPr>
      </w:pPr>
      <w:r>
        <w:rPr>
          <w:color w:val="0D0D0D"/>
          <w:sz w:val="22"/>
          <w:szCs w:val="22"/>
        </w:rPr>
        <w:t xml:space="preserve">The Last Alternate SPID </w:t>
      </w:r>
      <w:r w:rsidR="00401DA4">
        <w:rPr>
          <w:color w:val="0D0D0D"/>
          <w:sz w:val="22"/>
          <w:szCs w:val="22"/>
        </w:rPr>
        <w:t xml:space="preserve">attribute </w:t>
      </w:r>
      <w:r>
        <w:rPr>
          <w:color w:val="0D0D0D"/>
          <w:sz w:val="22"/>
          <w:szCs w:val="22"/>
        </w:rPr>
        <w:t>was then added in NANC 438 in Release 3.3.4.</w:t>
      </w:r>
    </w:p>
    <w:p w:rsidR="00DE6479" w:rsidRDefault="00DE6479">
      <w:pPr>
        <w:pStyle w:val="BodyText2"/>
        <w:rPr>
          <w:color w:val="0D0D0D"/>
          <w:sz w:val="22"/>
          <w:szCs w:val="22"/>
        </w:rPr>
      </w:pPr>
      <w:r>
        <w:rPr>
          <w:color w:val="0D0D0D"/>
          <w:sz w:val="22"/>
          <w:szCs w:val="22"/>
        </w:rPr>
        <w:t xml:space="preserve">During transition, iconectiv noticed that a number of </w:t>
      </w:r>
      <w:proofErr w:type="spellStart"/>
      <w:r>
        <w:rPr>
          <w:color w:val="0D0D0D"/>
          <w:sz w:val="22"/>
          <w:szCs w:val="22"/>
        </w:rPr>
        <w:t>altSPIDs</w:t>
      </w:r>
      <w:proofErr w:type="spellEnd"/>
      <w:r>
        <w:rPr>
          <w:color w:val="0D0D0D"/>
          <w:sz w:val="22"/>
          <w:szCs w:val="22"/>
        </w:rPr>
        <w:t xml:space="preserve"> </w:t>
      </w:r>
      <w:r w:rsidR="00473546">
        <w:rPr>
          <w:color w:val="0D0D0D"/>
          <w:sz w:val="22"/>
          <w:szCs w:val="22"/>
        </w:rPr>
        <w:t xml:space="preserve">were </w:t>
      </w:r>
      <w:r>
        <w:rPr>
          <w:color w:val="0D0D0D"/>
          <w:sz w:val="22"/>
          <w:szCs w:val="22"/>
        </w:rPr>
        <w:t>not or never used in the NPAC database</w:t>
      </w:r>
      <w:r w:rsidR="00473546">
        <w:rPr>
          <w:color w:val="0D0D0D"/>
          <w:sz w:val="22"/>
          <w:szCs w:val="22"/>
        </w:rPr>
        <w:t xml:space="preserve">, not in the </w:t>
      </w:r>
      <w:proofErr w:type="spellStart"/>
      <w:r w:rsidR="00473546">
        <w:rPr>
          <w:color w:val="0D0D0D"/>
          <w:sz w:val="22"/>
          <w:szCs w:val="22"/>
        </w:rPr>
        <w:t>altSPID</w:t>
      </w:r>
      <w:proofErr w:type="spellEnd"/>
      <w:r w:rsidR="00473546">
        <w:rPr>
          <w:color w:val="0D0D0D"/>
          <w:sz w:val="22"/>
          <w:szCs w:val="22"/>
        </w:rPr>
        <w:t xml:space="preserve"> or last </w:t>
      </w:r>
      <w:proofErr w:type="spellStart"/>
      <w:r w:rsidR="00473546">
        <w:rPr>
          <w:color w:val="0D0D0D"/>
          <w:sz w:val="22"/>
          <w:szCs w:val="22"/>
        </w:rPr>
        <w:t>altSPID</w:t>
      </w:r>
      <w:proofErr w:type="spellEnd"/>
      <w:r w:rsidR="00473546">
        <w:rPr>
          <w:color w:val="0D0D0D"/>
          <w:sz w:val="22"/>
          <w:szCs w:val="22"/>
        </w:rPr>
        <w:t xml:space="preserve"> fields on Subscription Versions</w:t>
      </w:r>
      <w:r w:rsidR="00401DA4">
        <w:rPr>
          <w:color w:val="0D0D0D"/>
          <w:sz w:val="22"/>
          <w:szCs w:val="22"/>
        </w:rPr>
        <w:t xml:space="preserve"> or NPBs</w:t>
      </w:r>
      <w:r>
        <w:rPr>
          <w:color w:val="0D0D0D"/>
          <w:sz w:val="22"/>
          <w:szCs w:val="22"/>
        </w:rPr>
        <w:t xml:space="preserve">. </w:t>
      </w:r>
    </w:p>
    <w:p w:rsidR="00BA5885" w:rsidRPr="00DE6479" w:rsidRDefault="00CC69AA">
      <w:pPr>
        <w:pStyle w:val="BodyText2"/>
        <w:rPr>
          <w:color w:val="0D0D0D"/>
          <w:sz w:val="22"/>
          <w:szCs w:val="22"/>
        </w:rPr>
      </w:pPr>
      <w:proofErr w:type="gramStart"/>
      <w:r>
        <w:rPr>
          <w:color w:val="0D0D0D"/>
          <w:sz w:val="22"/>
          <w:szCs w:val="22"/>
        </w:rPr>
        <w:t>iconectiv</w:t>
      </w:r>
      <w:proofErr w:type="gramEnd"/>
      <w:r>
        <w:rPr>
          <w:color w:val="0D0D0D"/>
          <w:sz w:val="22"/>
          <w:szCs w:val="22"/>
        </w:rPr>
        <w:t xml:space="preserve"> </w:t>
      </w:r>
      <w:r w:rsidR="00871306">
        <w:rPr>
          <w:color w:val="0D0D0D"/>
          <w:sz w:val="22"/>
          <w:szCs w:val="22"/>
        </w:rPr>
        <w:t>had solicited User</w:t>
      </w:r>
      <w:r w:rsidR="00DE6479">
        <w:rPr>
          <w:color w:val="0D0D0D"/>
          <w:sz w:val="22"/>
          <w:szCs w:val="22"/>
        </w:rPr>
        <w:t>s</w:t>
      </w:r>
      <w:r w:rsidR="00871306">
        <w:rPr>
          <w:color w:val="0D0D0D"/>
          <w:sz w:val="22"/>
          <w:szCs w:val="22"/>
        </w:rPr>
        <w:t xml:space="preserve"> for their </w:t>
      </w:r>
      <w:proofErr w:type="spellStart"/>
      <w:r w:rsidR="00871306">
        <w:rPr>
          <w:color w:val="0D0D0D"/>
          <w:sz w:val="22"/>
          <w:szCs w:val="22"/>
        </w:rPr>
        <w:t>altSPIDs</w:t>
      </w:r>
      <w:proofErr w:type="spellEnd"/>
      <w:r w:rsidR="00871306">
        <w:rPr>
          <w:color w:val="0D0D0D"/>
          <w:sz w:val="22"/>
          <w:szCs w:val="22"/>
        </w:rPr>
        <w:t xml:space="preserve"> during onboarding. This was done via a separate form to be filled out with their Transition User Agreement (TUA). Because the incumbent did not provide copies of registration forms when service providers requested </w:t>
      </w:r>
      <w:proofErr w:type="spellStart"/>
      <w:r w:rsidR="00871306">
        <w:rPr>
          <w:color w:val="0D0D0D"/>
          <w:sz w:val="22"/>
          <w:szCs w:val="22"/>
        </w:rPr>
        <w:t>altSPIDs</w:t>
      </w:r>
      <w:proofErr w:type="spellEnd"/>
      <w:r w:rsidR="00871306">
        <w:rPr>
          <w:color w:val="0D0D0D"/>
          <w:sz w:val="22"/>
          <w:szCs w:val="22"/>
        </w:rPr>
        <w:t xml:space="preserve">, iconectiv relied on Users providing feedback. </w:t>
      </w:r>
      <w:r w:rsidR="00DE6479">
        <w:rPr>
          <w:color w:val="0D0D0D"/>
          <w:sz w:val="22"/>
          <w:szCs w:val="22"/>
        </w:rPr>
        <w:t xml:space="preserve">The result was </w:t>
      </w:r>
      <w:r w:rsidR="00871306">
        <w:rPr>
          <w:color w:val="0D0D0D"/>
          <w:sz w:val="22"/>
          <w:szCs w:val="22"/>
        </w:rPr>
        <w:t xml:space="preserve">very little feedback from service providers on what </w:t>
      </w:r>
      <w:proofErr w:type="spellStart"/>
      <w:r w:rsidR="00871306">
        <w:rPr>
          <w:color w:val="0D0D0D"/>
          <w:sz w:val="22"/>
          <w:szCs w:val="22"/>
        </w:rPr>
        <w:t>altSPIDs</w:t>
      </w:r>
      <w:proofErr w:type="spellEnd"/>
      <w:r w:rsidR="00871306">
        <w:rPr>
          <w:color w:val="0D0D0D"/>
          <w:sz w:val="22"/>
          <w:szCs w:val="22"/>
        </w:rPr>
        <w:t xml:space="preserve"> they use or requested to be created in the past. After further research, iconectiv noticed that a </w:t>
      </w:r>
      <w:r w:rsidR="002527E5">
        <w:rPr>
          <w:color w:val="0D0D0D"/>
          <w:sz w:val="22"/>
          <w:szCs w:val="22"/>
        </w:rPr>
        <w:t xml:space="preserve">significant </w:t>
      </w:r>
      <w:r w:rsidR="00871306">
        <w:rPr>
          <w:color w:val="0D0D0D"/>
          <w:sz w:val="22"/>
          <w:szCs w:val="22"/>
        </w:rPr>
        <w:t xml:space="preserve">portion of </w:t>
      </w:r>
      <w:proofErr w:type="spellStart"/>
      <w:r w:rsidR="00871306">
        <w:rPr>
          <w:color w:val="0D0D0D"/>
          <w:sz w:val="22"/>
          <w:szCs w:val="22"/>
        </w:rPr>
        <w:t>altSPIDs</w:t>
      </w:r>
      <w:proofErr w:type="spellEnd"/>
      <w:r w:rsidR="00871306">
        <w:rPr>
          <w:color w:val="0D0D0D"/>
          <w:sz w:val="22"/>
          <w:szCs w:val="22"/>
        </w:rPr>
        <w:t xml:space="preserve"> </w:t>
      </w:r>
      <w:r w:rsidR="002527E5">
        <w:rPr>
          <w:color w:val="0D0D0D"/>
          <w:sz w:val="22"/>
          <w:szCs w:val="22"/>
        </w:rPr>
        <w:t>in the regional database are not used/</w:t>
      </w:r>
      <w:r w:rsidR="00DE6479">
        <w:rPr>
          <w:color w:val="0D0D0D"/>
          <w:sz w:val="22"/>
          <w:szCs w:val="22"/>
        </w:rPr>
        <w:t xml:space="preserve">were </w:t>
      </w:r>
      <w:r w:rsidR="00871306">
        <w:rPr>
          <w:color w:val="0D0D0D"/>
          <w:sz w:val="22"/>
          <w:szCs w:val="22"/>
        </w:rPr>
        <w:t xml:space="preserve">never used and </w:t>
      </w:r>
      <w:r w:rsidR="00DE6479">
        <w:rPr>
          <w:color w:val="0D0D0D"/>
          <w:sz w:val="22"/>
          <w:szCs w:val="22"/>
        </w:rPr>
        <w:t xml:space="preserve">therefore are candidates to be </w:t>
      </w:r>
      <w:r w:rsidR="00871306">
        <w:rPr>
          <w:color w:val="0D0D0D"/>
          <w:sz w:val="22"/>
          <w:szCs w:val="22"/>
        </w:rPr>
        <w:t xml:space="preserve">removed. </w:t>
      </w:r>
    </w:p>
    <w:p w:rsidR="00BA5885" w:rsidRDefault="00871306">
      <w:pPr>
        <w:rPr>
          <w:sz w:val="24"/>
        </w:rPr>
      </w:pPr>
      <w:r>
        <w:rPr>
          <w:sz w:val="24"/>
        </w:rPr>
        <w:t xml:space="preserve"> </w:t>
      </w: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22633C" w:rsidRPr="00082954" w:rsidRDefault="00BA5885" w:rsidP="00082954">
      <w:pPr>
        <w:pStyle w:val="BodyText2"/>
        <w:numPr>
          <w:ilvl w:val="0"/>
          <w:numId w:val="4"/>
        </w:numPr>
        <w:ind w:left="0" w:firstLine="0"/>
        <w:rPr>
          <w:sz w:val="22"/>
          <w:szCs w:val="22"/>
        </w:rPr>
      </w:pPr>
      <w:r w:rsidRPr="00871306">
        <w:rPr>
          <w:sz w:val="22"/>
          <w:szCs w:val="22"/>
        </w:rPr>
        <w:t>Examples &amp; Impacts of Probl</w:t>
      </w:r>
      <w:r w:rsidR="00051F10" w:rsidRPr="00871306">
        <w:rPr>
          <w:sz w:val="22"/>
          <w:szCs w:val="22"/>
        </w:rPr>
        <w:t>em/Issue:</w:t>
      </w:r>
      <w:r w:rsidR="00926697" w:rsidRPr="00871306">
        <w:rPr>
          <w:sz w:val="22"/>
          <w:szCs w:val="22"/>
        </w:rPr>
        <w:t xml:space="preserve">  </w:t>
      </w:r>
      <w:r w:rsidR="00926697" w:rsidRPr="00871306">
        <w:rPr>
          <w:sz w:val="22"/>
          <w:szCs w:val="22"/>
        </w:rPr>
        <w:br/>
      </w:r>
      <w:r w:rsidR="00DE6479">
        <w:rPr>
          <w:sz w:val="22"/>
          <w:szCs w:val="22"/>
        </w:rPr>
        <w:t xml:space="preserve">As of August 21, 2018, </w:t>
      </w:r>
      <w:r w:rsidR="00871306" w:rsidRPr="00871306">
        <w:rPr>
          <w:sz w:val="22"/>
          <w:szCs w:val="22"/>
        </w:rPr>
        <w:t xml:space="preserve">iconectiv has found that </w:t>
      </w:r>
      <w:r w:rsidR="00871306" w:rsidRPr="0040766C">
        <w:rPr>
          <w:b/>
          <w:sz w:val="22"/>
          <w:szCs w:val="22"/>
        </w:rPr>
        <w:t>751</w:t>
      </w:r>
      <w:r w:rsidR="00871306" w:rsidRPr="00871306">
        <w:rPr>
          <w:sz w:val="22"/>
          <w:szCs w:val="22"/>
        </w:rPr>
        <w:t xml:space="preserve"> </w:t>
      </w:r>
      <w:proofErr w:type="spellStart"/>
      <w:r w:rsidR="00871306" w:rsidRPr="00871306">
        <w:rPr>
          <w:sz w:val="22"/>
          <w:szCs w:val="22"/>
        </w:rPr>
        <w:t>altSPIDs</w:t>
      </w:r>
      <w:proofErr w:type="spellEnd"/>
      <w:r w:rsidR="00871306" w:rsidRPr="00871306">
        <w:rPr>
          <w:sz w:val="22"/>
          <w:szCs w:val="22"/>
        </w:rPr>
        <w:t xml:space="preserve"> out of 1063 are not used</w:t>
      </w:r>
      <w:r w:rsidR="00DE6479">
        <w:rPr>
          <w:sz w:val="22"/>
          <w:szCs w:val="22"/>
        </w:rPr>
        <w:t xml:space="preserve"> in either the </w:t>
      </w:r>
      <w:proofErr w:type="spellStart"/>
      <w:r w:rsidR="00DE6479">
        <w:rPr>
          <w:sz w:val="22"/>
          <w:szCs w:val="22"/>
        </w:rPr>
        <w:t>altSPID</w:t>
      </w:r>
      <w:proofErr w:type="spellEnd"/>
      <w:r w:rsidR="00DE6479">
        <w:rPr>
          <w:sz w:val="22"/>
          <w:szCs w:val="22"/>
        </w:rPr>
        <w:t xml:space="preserve"> or last </w:t>
      </w:r>
      <w:proofErr w:type="spellStart"/>
      <w:r w:rsidR="00DE6479">
        <w:rPr>
          <w:sz w:val="22"/>
          <w:szCs w:val="22"/>
        </w:rPr>
        <w:t>altSPID</w:t>
      </w:r>
      <w:proofErr w:type="spellEnd"/>
      <w:r w:rsidR="00DE6479">
        <w:rPr>
          <w:sz w:val="22"/>
          <w:szCs w:val="22"/>
        </w:rPr>
        <w:t xml:space="preserve"> field on Subscription Versions</w:t>
      </w:r>
      <w:r w:rsidR="002527E5">
        <w:rPr>
          <w:sz w:val="22"/>
          <w:szCs w:val="22"/>
        </w:rPr>
        <w:t xml:space="preserve"> or NPBs</w:t>
      </w:r>
      <w:r w:rsidR="00871306" w:rsidRPr="00871306">
        <w:rPr>
          <w:sz w:val="22"/>
          <w:szCs w:val="22"/>
        </w:rPr>
        <w:t xml:space="preserve">, about 71%. This is the regional count, meaning the </w:t>
      </w:r>
      <w:proofErr w:type="spellStart"/>
      <w:r w:rsidR="00871306" w:rsidRPr="00871306">
        <w:rPr>
          <w:sz w:val="22"/>
          <w:szCs w:val="22"/>
        </w:rPr>
        <w:t>altSPIDs</w:t>
      </w:r>
      <w:proofErr w:type="spellEnd"/>
      <w:r w:rsidR="00871306" w:rsidRPr="00871306">
        <w:rPr>
          <w:sz w:val="22"/>
          <w:szCs w:val="22"/>
        </w:rPr>
        <w:t xml:space="preserve"> are </w:t>
      </w:r>
      <w:r w:rsidR="00871306">
        <w:rPr>
          <w:sz w:val="22"/>
          <w:szCs w:val="22"/>
        </w:rPr>
        <w:t xml:space="preserve">across all regions, not a count of unique </w:t>
      </w:r>
      <w:proofErr w:type="spellStart"/>
      <w:r w:rsidR="00871306">
        <w:rPr>
          <w:sz w:val="22"/>
          <w:szCs w:val="22"/>
        </w:rPr>
        <w:t>altSPIDs</w:t>
      </w:r>
      <w:proofErr w:type="spellEnd"/>
      <w:r w:rsidR="00871306" w:rsidRPr="00871306">
        <w:rPr>
          <w:sz w:val="22"/>
          <w:szCs w:val="22"/>
        </w:rPr>
        <w:t xml:space="preserve">. </w:t>
      </w:r>
    </w:p>
    <w:p w:rsidR="00D96D70" w:rsidRDefault="00D96D70" w:rsidP="00D96D70">
      <w:pPr>
        <w:pStyle w:val="BodyText2"/>
        <w:rPr>
          <w:sz w:val="22"/>
          <w:szCs w:val="22"/>
        </w:rPr>
      </w:pPr>
      <w:r>
        <w:rPr>
          <w:sz w:val="22"/>
          <w:szCs w:val="22"/>
        </w:rPr>
        <w:t xml:space="preserve">The following table below provides a count by year of the creation of </w:t>
      </w:r>
      <w:r w:rsidR="00DE6479">
        <w:rPr>
          <w:sz w:val="22"/>
          <w:szCs w:val="22"/>
        </w:rPr>
        <w:t xml:space="preserve">the </w:t>
      </w:r>
      <w:r w:rsidR="00DE6479" w:rsidRPr="00DE6479">
        <w:rPr>
          <w:b/>
          <w:sz w:val="22"/>
          <w:szCs w:val="22"/>
        </w:rPr>
        <w:t xml:space="preserve">unused </w:t>
      </w:r>
      <w:proofErr w:type="spellStart"/>
      <w:r w:rsidRPr="00DE6479">
        <w:rPr>
          <w:b/>
          <w:sz w:val="22"/>
          <w:szCs w:val="22"/>
        </w:rPr>
        <w:t>altSPIDs</w:t>
      </w:r>
      <w:proofErr w:type="spellEnd"/>
      <w:r>
        <w:rPr>
          <w:sz w:val="22"/>
          <w:szCs w:val="22"/>
        </w:rPr>
        <w:t>.</w:t>
      </w:r>
    </w:p>
    <w:p w:rsidR="00D96D70" w:rsidRDefault="00D96D70">
      <w:pPr>
        <w:rPr>
          <w:sz w:val="24"/>
        </w:rPr>
      </w:pPr>
    </w:p>
    <w:tbl>
      <w:tblPr>
        <w:tblW w:w="3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00"/>
      </w:tblGrid>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Year</w:t>
            </w:r>
            <w:r w:rsidR="0040766C">
              <w:rPr>
                <w:color w:val="000000"/>
                <w:sz w:val="22"/>
                <w:szCs w:val="22"/>
              </w:rPr>
              <w:t xml:space="preserve"> </w:t>
            </w:r>
            <w:proofErr w:type="spellStart"/>
            <w:r w:rsidR="0040766C">
              <w:rPr>
                <w:color w:val="000000"/>
                <w:sz w:val="22"/>
                <w:szCs w:val="22"/>
              </w:rPr>
              <w:t>altSPID</w:t>
            </w:r>
            <w:proofErr w:type="spellEnd"/>
            <w:r w:rsidR="0040766C">
              <w:rPr>
                <w:color w:val="000000"/>
                <w:sz w:val="22"/>
                <w:szCs w:val="22"/>
              </w:rPr>
              <w:t xml:space="preserve"> was created</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Count</w:t>
            </w:r>
            <w:r w:rsidR="0040766C">
              <w:rPr>
                <w:color w:val="000000"/>
                <w:sz w:val="22"/>
                <w:szCs w:val="22"/>
              </w:rPr>
              <w:t xml:space="preserve"> of </w:t>
            </w:r>
            <w:r w:rsidR="0040766C" w:rsidRPr="0040766C">
              <w:rPr>
                <w:b/>
                <w:color w:val="000000"/>
                <w:sz w:val="22"/>
                <w:szCs w:val="22"/>
              </w:rPr>
              <w:t xml:space="preserve">Unused </w:t>
            </w:r>
            <w:proofErr w:type="spellStart"/>
            <w:r w:rsidR="0040766C" w:rsidRPr="0040766C">
              <w:rPr>
                <w:b/>
                <w:color w:val="000000"/>
                <w:sz w:val="22"/>
                <w:szCs w:val="22"/>
              </w:rPr>
              <w:t>altSPIDs</w:t>
            </w:r>
            <w:proofErr w:type="spellEnd"/>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2007</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106</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2008</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56</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2009</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23</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2010</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6</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2011</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12</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2012</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2013</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13</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2014</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2015</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51</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2016</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417</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2017</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w:t>
            </w:r>
          </w:p>
        </w:tc>
      </w:tr>
      <w:tr w:rsidR="00D96D70" w:rsidRPr="00D96D70" w:rsidTr="0040766C">
        <w:trPr>
          <w:trHeight w:val="300"/>
        </w:trPr>
        <w:tc>
          <w:tcPr>
            <w:tcW w:w="153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2018</w:t>
            </w:r>
          </w:p>
        </w:tc>
        <w:tc>
          <w:tcPr>
            <w:tcW w:w="1800" w:type="dxa"/>
            <w:shd w:val="clear" w:color="auto" w:fill="auto"/>
            <w:noWrap/>
            <w:vAlign w:val="bottom"/>
            <w:hideMark/>
          </w:tcPr>
          <w:p w:rsidR="00D96D70" w:rsidRPr="00D96D70" w:rsidRDefault="00D96D70" w:rsidP="0040766C">
            <w:pPr>
              <w:jc w:val="center"/>
              <w:rPr>
                <w:color w:val="000000"/>
                <w:sz w:val="22"/>
                <w:szCs w:val="22"/>
              </w:rPr>
            </w:pPr>
            <w:r w:rsidRPr="00D96D70">
              <w:rPr>
                <w:color w:val="000000"/>
                <w:sz w:val="22"/>
                <w:szCs w:val="22"/>
              </w:rPr>
              <w:t>25</w:t>
            </w:r>
          </w:p>
        </w:tc>
      </w:tr>
    </w:tbl>
    <w:p w:rsidR="00D96D70" w:rsidRDefault="00D96D70">
      <w:pPr>
        <w:rPr>
          <w:sz w:val="24"/>
        </w:rPr>
      </w:pPr>
    </w:p>
    <w:p w:rsidR="00D96D70" w:rsidRDefault="00D96D70">
      <w:pPr>
        <w:rPr>
          <w:sz w:val="24"/>
        </w:rPr>
      </w:pPr>
    </w:p>
    <w:p w:rsidR="00BA5885" w:rsidRPr="00055F6E" w:rsidRDefault="00055F6E" w:rsidP="00055F6E">
      <w:pPr>
        <w:pStyle w:val="BodyText2"/>
        <w:ind w:left="360" w:hanging="360"/>
        <w:rPr>
          <w:sz w:val="20"/>
        </w:rPr>
      </w:pPr>
      <w:r>
        <w:rPr>
          <w:sz w:val="20"/>
        </w:rPr>
        <w:t xml:space="preserve">B.   </w:t>
      </w:r>
      <w:r w:rsidRPr="00871306">
        <w:rPr>
          <w:sz w:val="22"/>
          <w:szCs w:val="22"/>
        </w:rPr>
        <w:t>Frequency of Occurrence</w:t>
      </w:r>
      <w:proofErr w:type="gramStart"/>
      <w:r w:rsidRPr="00871306">
        <w:rPr>
          <w:sz w:val="22"/>
          <w:szCs w:val="22"/>
        </w:rPr>
        <w:t>:</w:t>
      </w:r>
      <w:proofErr w:type="gramEnd"/>
      <w:r w:rsidRPr="00871306">
        <w:rPr>
          <w:sz w:val="22"/>
          <w:szCs w:val="22"/>
        </w:rPr>
        <w:br/>
      </w:r>
      <w:r w:rsidR="00871306" w:rsidRPr="00871306">
        <w:rPr>
          <w:sz w:val="22"/>
          <w:szCs w:val="22"/>
        </w:rPr>
        <w:t>This had occurred once during transition.</w:t>
      </w:r>
      <w:r w:rsidR="00871306">
        <w:rPr>
          <w:sz w:val="20"/>
        </w:rPr>
        <w:t xml:space="preserve"> </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 xml:space="preserve">US </w:t>
      </w:r>
      <w:proofErr w:type="spellStart"/>
      <w:r w:rsidR="00051F10">
        <w:rPr>
          <w:sz w:val="20"/>
        </w:rPr>
        <w:t>regions</w:t>
      </w:r>
      <w:r>
        <w:rPr>
          <w:sz w:val="20"/>
        </w:rPr>
        <w:t>_</w:t>
      </w:r>
      <w:r w:rsidR="00055F6E">
        <w:rPr>
          <w:sz w:val="20"/>
        </w:rPr>
        <w:t>X</w:t>
      </w:r>
      <w:proofErr w:type="spellEnd"/>
      <w:r>
        <w:rPr>
          <w:sz w:val="20"/>
        </w:rPr>
        <w:t>_</w:t>
      </w:r>
      <w:r w:rsidR="008B1E26">
        <w:rPr>
          <w:sz w:val="20"/>
        </w:rPr>
        <w:t>_</w:t>
      </w:r>
    </w:p>
    <w:p w:rsidR="00BA5885" w:rsidRDefault="00BA5885">
      <w:pPr>
        <w:rPr>
          <w:sz w:val="24"/>
        </w:rPr>
      </w:pPr>
    </w:p>
    <w:p w:rsidR="00D96D70" w:rsidRDefault="00BA5885">
      <w:pPr>
        <w:pStyle w:val="BodyText2"/>
        <w:rPr>
          <w:sz w:val="22"/>
          <w:szCs w:val="22"/>
        </w:rPr>
      </w:pPr>
      <w:r>
        <w:rPr>
          <w:sz w:val="20"/>
        </w:rPr>
        <w:t xml:space="preserve">D.  </w:t>
      </w:r>
      <w:r w:rsidRPr="00D96D70">
        <w:rPr>
          <w:sz w:val="22"/>
          <w:szCs w:val="22"/>
        </w:rPr>
        <w:t xml:space="preserve">Rationale why existing process is deficient: </w:t>
      </w:r>
    </w:p>
    <w:p w:rsidR="0040766C" w:rsidRDefault="0003344E">
      <w:pPr>
        <w:pStyle w:val="BodyText2"/>
        <w:rPr>
          <w:sz w:val="22"/>
          <w:szCs w:val="22"/>
        </w:rPr>
      </w:pPr>
      <w:r>
        <w:rPr>
          <w:sz w:val="22"/>
          <w:szCs w:val="22"/>
        </w:rPr>
        <w:t xml:space="preserve">There is no company associated with an </w:t>
      </w:r>
      <w:proofErr w:type="spellStart"/>
      <w:r>
        <w:rPr>
          <w:sz w:val="22"/>
          <w:szCs w:val="22"/>
        </w:rPr>
        <w:t>altSPID</w:t>
      </w:r>
      <w:proofErr w:type="spellEnd"/>
      <w:r>
        <w:rPr>
          <w:sz w:val="22"/>
          <w:szCs w:val="22"/>
        </w:rPr>
        <w:t xml:space="preserve"> that iconectiv can contact. </w:t>
      </w:r>
    </w:p>
    <w:p w:rsidR="00E648A4" w:rsidRDefault="00733B80">
      <w:pPr>
        <w:pStyle w:val="BodyText2"/>
        <w:rPr>
          <w:sz w:val="22"/>
          <w:szCs w:val="22"/>
        </w:rPr>
      </w:pPr>
      <w:r>
        <w:rPr>
          <w:sz w:val="22"/>
          <w:szCs w:val="22"/>
        </w:rPr>
        <w:t xml:space="preserve">Remember </w:t>
      </w:r>
      <w:proofErr w:type="spellStart"/>
      <w:r w:rsidR="0003344E">
        <w:rPr>
          <w:sz w:val="22"/>
          <w:szCs w:val="22"/>
        </w:rPr>
        <w:t>altSPIDs</w:t>
      </w:r>
      <w:proofErr w:type="spellEnd"/>
      <w:r w:rsidR="0003344E">
        <w:rPr>
          <w:sz w:val="22"/>
          <w:szCs w:val="22"/>
        </w:rPr>
        <w:t xml:space="preserve"> do not register wi</w:t>
      </w:r>
      <w:r w:rsidR="0040766C">
        <w:rPr>
          <w:sz w:val="22"/>
          <w:szCs w:val="22"/>
        </w:rPr>
        <w:t>th the NPAC directly and are not NPAC users.</w:t>
      </w:r>
    </w:p>
    <w:p w:rsidR="0040766C" w:rsidRDefault="0040766C">
      <w:pPr>
        <w:pStyle w:val="BodyText2"/>
        <w:rPr>
          <w:sz w:val="22"/>
          <w:szCs w:val="22"/>
        </w:rPr>
      </w:pPr>
    </w:p>
    <w:p w:rsidR="00BA5885" w:rsidRPr="00E648A4" w:rsidRDefault="00E648A4">
      <w:pPr>
        <w:pStyle w:val="BodyText2"/>
        <w:rPr>
          <w:sz w:val="22"/>
          <w:szCs w:val="22"/>
        </w:rPr>
      </w:pPr>
      <w:proofErr w:type="gramStart"/>
      <w:r>
        <w:rPr>
          <w:sz w:val="22"/>
          <w:szCs w:val="22"/>
        </w:rPr>
        <w:t>icon</w:t>
      </w:r>
      <w:r w:rsidR="00871306" w:rsidRPr="00D96D70">
        <w:rPr>
          <w:sz w:val="22"/>
          <w:szCs w:val="22"/>
        </w:rPr>
        <w:t>ectiv</w:t>
      </w:r>
      <w:proofErr w:type="gramEnd"/>
      <w:r w:rsidR="00871306" w:rsidRPr="00D96D70">
        <w:rPr>
          <w:sz w:val="22"/>
          <w:szCs w:val="22"/>
        </w:rPr>
        <w:t xml:space="preserve"> was able to reach </w:t>
      </w:r>
      <w:r>
        <w:rPr>
          <w:sz w:val="22"/>
          <w:szCs w:val="22"/>
        </w:rPr>
        <w:t xml:space="preserve">certain </w:t>
      </w:r>
      <w:r w:rsidR="00871306" w:rsidRPr="00D96D70">
        <w:rPr>
          <w:sz w:val="22"/>
          <w:szCs w:val="22"/>
        </w:rPr>
        <w:t xml:space="preserve">companies </w:t>
      </w:r>
      <w:r w:rsidR="0040766C">
        <w:rPr>
          <w:sz w:val="22"/>
          <w:szCs w:val="22"/>
        </w:rPr>
        <w:t>during transition</w:t>
      </w:r>
      <w:r>
        <w:rPr>
          <w:sz w:val="22"/>
          <w:szCs w:val="22"/>
        </w:rPr>
        <w:t>, for regular SPIDs, where they informed iconectiv</w:t>
      </w:r>
      <w:r w:rsidR="00871306" w:rsidRPr="00D96D70">
        <w:rPr>
          <w:sz w:val="22"/>
          <w:szCs w:val="22"/>
        </w:rPr>
        <w:t xml:space="preserve"> – the “SPID was not needed any more” or iconectiv had done the due diligence to determine the company had gone out of business, </w:t>
      </w:r>
      <w:r>
        <w:rPr>
          <w:sz w:val="22"/>
          <w:szCs w:val="22"/>
        </w:rPr>
        <w:t xml:space="preserve">but </w:t>
      </w:r>
      <w:r w:rsidR="00871306" w:rsidRPr="00D96D70">
        <w:rPr>
          <w:sz w:val="22"/>
          <w:szCs w:val="22"/>
        </w:rPr>
        <w:t>there is not necessarily a compa</w:t>
      </w:r>
      <w:r w:rsidR="00733B80">
        <w:rPr>
          <w:sz w:val="22"/>
          <w:szCs w:val="22"/>
        </w:rPr>
        <w:t xml:space="preserve">ny to contact in this situation for </w:t>
      </w:r>
      <w:proofErr w:type="spellStart"/>
      <w:r w:rsidR="00733B80">
        <w:rPr>
          <w:sz w:val="22"/>
          <w:szCs w:val="22"/>
        </w:rPr>
        <w:t>altSPIDs</w:t>
      </w:r>
      <w:proofErr w:type="spellEnd"/>
      <w:r w:rsidR="00733B80">
        <w:rPr>
          <w:sz w:val="22"/>
          <w:szCs w:val="22"/>
        </w:rPr>
        <w:t>.</w:t>
      </w:r>
    </w:p>
    <w:p w:rsidR="00BA5885" w:rsidRDefault="00BA5885">
      <w:pPr>
        <w:rPr>
          <w:sz w:val="24"/>
        </w:rPr>
      </w:pPr>
    </w:p>
    <w:p w:rsidR="007B7CE7" w:rsidRDefault="00BA5885">
      <w:pPr>
        <w:pStyle w:val="BodyText2"/>
        <w:rPr>
          <w:sz w:val="22"/>
          <w:szCs w:val="22"/>
        </w:rPr>
      </w:pPr>
      <w:r>
        <w:rPr>
          <w:sz w:val="20"/>
        </w:rPr>
        <w:t xml:space="preserve">E.   </w:t>
      </w:r>
      <w:r w:rsidRPr="00D96D70">
        <w:rPr>
          <w:sz w:val="22"/>
          <w:szCs w:val="22"/>
        </w:rPr>
        <w:t>Identify action taken in</w:t>
      </w:r>
      <w:r w:rsidR="00871306" w:rsidRPr="00D96D70">
        <w:rPr>
          <w:sz w:val="22"/>
          <w:szCs w:val="22"/>
        </w:rPr>
        <w:t xml:space="preserve"> other committees / forums: </w:t>
      </w:r>
    </w:p>
    <w:p w:rsidR="00BA5885" w:rsidRDefault="00871306">
      <w:pPr>
        <w:pStyle w:val="BodyText2"/>
        <w:rPr>
          <w:sz w:val="20"/>
        </w:rPr>
      </w:pPr>
      <w:r w:rsidRPr="00D96D70">
        <w:rPr>
          <w:sz w:val="22"/>
          <w:szCs w:val="22"/>
        </w:rPr>
        <w:t>No action taken in other committees/ forums.</w:t>
      </w:r>
    </w:p>
    <w:p w:rsidR="00BA5885" w:rsidRDefault="00BA5885">
      <w:pPr>
        <w:rPr>
          <w:sz w:val="24"/>
        </w:rPr>
      </w:pPr>
    </w:p>
    <w:p w:rsidR="00BA5885" w:rsidRDefault="00BA5885">
      <w:pPr>
        <w:pStyle w:val="BodyText2"/>
        <w:rPr>
          <w:sz w:val="20"/>
        </w:rPr>
      </w:pPr>
      <w:r>
        <w:rPr>
          <w:sz w:val="20"/>
        </w:rPr>
        <w:t xml:space="preserve">F.   </w:t>
      </w:r>
      <w:r w:rsidR="00871306" w:rsidRPr="00D96D70">
        <w:rPr>
          <w:sz w:val="22"/>
          <w:szCs w:val="22"/>
        </w:rPr>
        <w:t xml:space="preserve">Any other descriptive items: </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1936A5" w:rsidRPr="001936A5" w:rsidRDefault="001936A5">
      <w:pPr>
        <w:pStyle w:val="BodyText3"/>
        <w:rPr>
          <w:sz w:val="22"/>
          <w:szCs w:val="22"/>
        </w:rPr>
      </w:pPr>
      <w:proofErr w:type="gramStart"/>
      <w:r w:rsidRPr="001936A5">
        <w:rPr>
          <w:sz w:val="22"/>
          <w:szCs w:val="22"/>
        </w:rPr>
        <w:t>iconectiv</w:t>
      </w:r>
      <w:proofErr w:type="gramEnd"/>
      <w:r w:rsidRPr="001936A5">
        <w:rPr>
          <w:sz w:val="22"/>
          <w:szCs w:val="22"/>
        </w:rPr>
        <w:t xml:space="preserve"> will </w:t>
      </w:r>
      <w:r>
        <w:rPr>
          <w:sz w:val="22"/>
          <w:szCs w:val="22"/>
        </w:rPr>
        <w:t xml:space="preserve">first </w:t>
      </w:r>
      <w:r w:rsidR="007B0019">
        <w:rPr>
          <w:sz w:val="22"/>
          <w:szCs w:val="22"/>
        </w:rPr>
        <w:t xml:space="preserve">send a </w:t>
      </w:r>
      <w:r w:rsidRPr="001936A5">
        <w:rPr>
          <w:sz w:val="22"/>
          <w:szCs w:val="22"/>
        </w:rPr>
        <w:t>notification</w:t>
      </w:r>
      <w:r w:rsidR="007B0019">
        <w:rPr>
          <w:sz w:val="22"/>
          <w:szCs w:val="22"/>
        </w:rPr>
        <w:t xml:space="preserve"> to the Cross Regional mailing list. The notification</w:t>
      </w:r>
      <w:r w:rsidRPr="001936A5">
        <w:rPr>
          <w:sz w:val="22"/>
          <w:szCs w:val="22"/>
        </w:rPr>
        <w:t xml:space="preserve"> </w:t>
      </w:r>
      <w:r w:rsidR="0003344E">
        <w:rPr>
          <w:sz w:val="22"/>
          <w:szCs w:val="22"/>
        </w:rPr>
        <w:t>will inform the Service Providers</w:t>
      </w:r>
      <w:r w:rsidRPr="001936A5">
        <w:rPr>
          <w:sz w:val="22"/>
          <w:szCs w:val="22"/>
        </w:rPr>
        <w:t xml:space="preserve"> that iconectiv posted a list of unused </w:t>
      </w:r>
      <w:proofErr w:type="spellStart"/>
      <w:r w:rsidRPr="001936A5">
        <w:rPr>
          <w:sz w:val="22"/>
          <w:szCs w:val="22"/>
        </w:rPr>
        <w:t>altSPIDs</w:t>
      </w:r>
      <w:proofErr w:type="spellEnd"/>
      <w:r w:rsidRPr="001936A5">
        <w:rPr>
          <w:sz w:val="22"/>
          <w:szCs w:val="22"/>
        </w:rPr>
        <w:t xml:space="preserve"> to the iconectiv Customer Portal. </w:t>
      </w:r>
    </w:p>
    <w:p w:rsidR="001936A5" w:rsidRPr="001936A5" w:rsidRDefault="001936A5">
      <w:pPr>
        <w:pStyle w:val="BodyText3"/>
        <w:rPr>
          <w:sz w:val="22"/>
          <w:szCs w:val="22"/>
        </w:rPr>
      </w:pPr>
    </w:p>
    <w:p w:rsidR="001936A5" w:rsidRPr="001936A5" w:rsidRDefault="001936A5">
      <w:pPr>
        <w:pStyle w:val="BodyText3"/>
        <w:rPr>
          <w:sz w:val="22"/>
          <w:szCs w:val="22"/>
        </w:rPr>
      </w:pPr>
      <w:r w:rsidRPr="001936A5">
        <w:rPr>
          <w:sz w:val="22"/>
          <w:szCs w:val="22"/>
        </w:rPr>
        <w:t xml:space="preserve">Service Providers will </w:t>
      </w:r>
      <w:r w:rsidR="0003344E">
        <w:rPr>
          <w:sz w:val="22"/>
          <w:szCs w:val="22"/>
        </w:rPr>
        <w:t xml:space="preserve">then </w:t>
      </w:r>
      <w:r w:rsidR="007B0019">
        <w:rPr>
          <w:sz w:val="22"/>
          <w:szCs w:val="22"/>
        </w:rPr>
        <w:t xml:space="preserve">have an opportunity </w:t>
      </w:r>
      <w:r w:rsidRPr="001936A5">
        <w:rPr>
          <w:sz w:val="22"/>
          <w:szCs w:val="22"/>
        </w:rPr>
        <w:t>to review the listing and</w:t>
      </w:r>
      <w:r w:rsidR="0003344E">
        <w:rPr>
          <w:sz w:val="22"/>
          <w:szCs w:val="22"/>
        </w:rPr>
        <w:t>,</w:t>
      </w:r>
      <w:r w:rsidRPr="001936A5">
        <w:rPr>
          <w:sz w:val="22"/>
          <w:szCs w:val="22"/>
        </w:rPr>
        <w:t xml:space="preserve"> if necessary,</w:t>
      </w:r>
      <w:r w:rsidR="007B0019">
        <w:rPr>
          <w:sz w:val="22"/>
          <w:szCs w:val="22"/>
        </w:rPr>
        <w:t xml:space="preserve"> provide any feedback within three</w:t>
      </w:r>
      <w:r w:rsidRPr="001936A5">
        <w:rPr>
          <w:sz w:val="22"/>
          <w:szCs w:val="22"/>
        </w:rPr>
        <w:t xml:space="preserve"> weeks. </w:t>
      </w:r>
    </w:p>
    <w:p w:rsidR="001936A5" w:rsidRPr="001936A5" w:rsidRDefault="001936A5">
      <w:pPr>
        <w:pStyle w:val="BodyText3"/>
        <w:rPr>
          <w:sz w:val="22"/>
          <w:szCs w:val="22"/>
        </w:rPr>
      </w:pPr>
      <w:r w:rsidRPr="001936A5">
        <w:rPr>
          <w:sz w:val="22"/>
          <w:szCs w:val="22"/>
        </w:rPr>
        <w:t xml:space="preserve">If a Service Provider observes an </w:t>
      </w:r>
      <w:proofErr w:type="spellStart"/>
      <w:r w:rsidRPr="001936A5">
        <w:rPr>
          <w:sz w:val="22"/>
          <w:szCs w:val="22"/>
        </w:rPr>
        <w:t>altSPID</w:t>
      </w:r>
      <w:proofErr w:type="spellEnd"/>
      <w:r w:rsidRPr="001936A5">
        <w:rPr>
          <w:sz w:val="22"/>
          <w:szCs w:val="22"/>
        </w:rPr>
        <w:t xml:space="preserve"> that their company previously requested to be created and intended to use, but did not denote this on their Onboarding Form and have not used it in the past (not on any existing NPAC records), the Service Provider should inform iconectiv. </w:t>
      </w:r>
    </w:p>
    <w:p w:rsidR="001936A5" w:rsidRPr="001936A5" w:rsidRDefault="001936A5">
      <w:pPr>
        <w:pStyle w:val="BodyText3"/>
        <w:rPr>
          <w:sz w:val="22"/>
          <w:szCs w:val="22"/>
        </w:rPr>
      </w:pPr>
    </w:p>
    <w:p w:rsidR="00D96D70" w:rsidRDefault="001936A5">
      <w:pPr>
        <w:pStyle w:val="BodyText3"/>
        <w:rPr>
          <w:sz w:val="22"/>
          <w:szCs w:val="22"/>
        </w:rPr>
      </w:pPr>
      <w:r w:rsidRPr="001936A5">
        <w:rPr>
          <w:sz w:val="22"/>
          <w:szCs w:val="22"/>
        </w:rPr>
        <w:t>If no fe</w:t>
      </w:r>
      <w:r w:rsidR="007B0019">
        <w:rPr>
          <w:sz w:val="22"/>
          <w:szCs w:val="22"/>
        </w:rPr>
        <w:t>edback is given during those three</w:t>
      </w:r>
      <w:r w:rsidRPr="001936A5">
        <w:rPr>
          <w:sz w:val="22"/>
          <w:szCs w:val="22"/>
        </w:rPr>
        <w:t xml:space="preserve"> weeks, the unused </w:t>
      </w:r>
      <w:proofErr w:type="spellStart"/>
      <w:r w:rsidRPr="001936A5">
        <w:rPr>
          <w:sz w:val="22"/>
          <w:szCs w:val="22"/>
        </w:rPr>
        <w:t>altSPIDs</w:t>
      </w:r>
      <w:proofErr w:type="spellEnd"/>
      <w:r w:rsidRPr="001936A5">
        <w:rPr>
          <w:sz w:val="22"/>
          <w:szCs w:val="22"/>
        </w:rPr>
        <w:t xml:space="preserve"> will be removed from the NPAC database. </w:t>
      </w:r>
      <w:bookmarkStart w:id="0" w:name="_GoBack"/>
      <w:bookmarkEnd w:id="0"/>
    </w:p>
    <w:p w:rsidR="00D96D70" w:rsidRDefault="00D96D70">
      <w:pPr>
        <w:pStyle w:val="BodyText3"/>
        <w:rPr>
          <w:sz w:val="22"/>
          <w:szCs w:val="22"/>
        </w:rPr>
      </w:pPr>
    </w:p>
    <w:p w:rsidR="00BA5885" w:rsidRPr="001936A5" w:rsidRDefault="001936A5">
      <w:pPr>
        <w:pStyle w:val="BodyText3"/>
        <w:rPr>
          <w:sz w:val="22"/>
          <w:szCs w:val="22"/>
        </w:rPr>
      </w:pPr>
      <w:r w:rsidRPr="001936A5">
        <w:rPr>
          <w:sz w:val="22"/>
          <w:szCs w:val="22"/>
        </w:rPr>
        <w:t xml:space="preserve">The exact </w:t>
      </w:r>
      <w:r w:rsidR="007B0019">
        <w:rPr>
          <w:sz w:val="22"/>
          <w:szCs w:val="22"/>
        </w:rPr>
        <w:t xml:space="preserve">deadline </w:t>
      </w:r>
      <w:r w:rsidRPr="001936A5">
        <w:rPr>
          <w:sz w:val="22"/>
          <w:szCs w:val="22"/>
        </w:rPr>
        <w:t>dates</w:t>
      </w:r>
      <w:r w:rsidR="007B0019">
        <w:rPr>
          <w:sz w:val="22"/>
          <w:szCs w:val="22"/>
        </w:rPr>
        <w:t xml:space="preserve"> will be specified in the </w:t>
      </w:r>
      <w:r w:rsidRPr="001936A5">
        <w:rPr>
          <w:sz w:val="22"/>
          <w:szCs w:val="22"/>
        </w:rPr>
        <w:t xml:space="preserve">notification.  </w:t>
      </w:r>
    </w:p>
    <w:p w:rsidR="00BA5885" w:rsidRPr="00456FF1" w:rsidRDefault="00BA5885">
      <w:pPr>
        <w:rPr>
          <w:rFonts w:ascii="Calibri" w:hAnsi="Calibri" w:cs="Calibri"/>
          <w:sz w:val="22"/>
          <w:szCs w:val="22"/>
        </w:rPr>
      </w:pPr>
    </w:p>
    <w:p w:rsidR="004F005D" w:rsidRPr="00EE728F" w:rsidRDefault="004F005D" w:rsidP="004F005D">
      <w:pPr>
        <w:numPr>
          <w:ilvl w:val="0"/>
          <w:numId w:val="2"/>
        </w:numPr>
        <w:rPr>
          <w:sz w:val="24"/>
        </w:rPr>
      </w:pPr>
      <w:r w:rsidRPr="00EE728F">
        <w:rPr>
          <w:b/>
          <w:sz w:val="24"/>
        </w:rPr>
        <w:t>Final Resolution:</w:t>
      </w:r>
    </w:p>
    <w:p w:rsidR="004F005D" w:rsidRPr="00EE728F" w:rsidRDefault="004F005D" w:rsidP="004F005D">
      <w:pPr>
        <w:ind w:left="360"/>
        <w:rPr>
          <w:sz w:val="24"/>
        </w:rPr>
      </w:pPr>
    </w:p>
    <w:p w:rsidR="004F005D" w:rsidRDefault="00891091" w:rsidP="004F005D">
      <w:pPr>
        <w:pBdr>
          <w:top w:val="single" w:sz="4" w:space="1" w:color="auto"/>
          <w:left w:val="single" w:sz="4" w:space="4" w:color="auto"/>
          <w:bottom w:val="single" w:sz="4" w:space="1" w:color="auto"/>
          <w:right w:val="single" w:sz="4" w:space="4" w:color="auto"/>
          <w:bar w:val="single" w:sz="4" w:color="auto"/>
        </w:pBdr>
        <w:rPr>
          <w:sz w:val="24"/>
        </w:rPr>
      </w:pPr>
      <w:r>
        <w:rPr>
          <w:sz w:val="24"/>
        </w:rPr>
        <w:t xml:space="preserve">Unused </w:t>
      </w:r>
      <w:proofErr w:type="spellStart"/>
      <w:r>
        <w:rPr>
          <w:sz w:val="24"/>
        </w:rPr>
        <w:t>altSPIDs</w:t>
      </w:r>
      <w:proofErr w:type="spellEnd"/>
      <w:r>
        <w:rPr>
          <w:sz w:val="24"/>
        </w:rPr>
        <w:t>, not present on any Subscription Versions or NPBs, were removed from the NPAC regional databases</w:t>
      </w:r>
    </w:p>
    <w:p w:rsidR="004F005D" w:rsidRPr="00EE728F" w:rsidRDefault="004F005D" w:rsidP="004F005D">
      <w:pPr>
        <w:pBdr>
          <w:top w:val="single" w:sz="4" w:space="1" w:color="auto"/>
          <w:left w:val="single" w:sz="4" w:space="4" w:color="auto"/>
          <w:bottom w:val="single" w:sz="4" w:space="1" w:color="auto"/>
          <w:right w:val="single" w:sz="4" w:space="4" w:color="auto"/>
          <w:bar w:val="single" w:sz="4" w:color="auto"/>
        </w:pBdr>
        <w:rPr>
          <w:sz w:val="24"/>
        </w:rPr>
      </w:pP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D53794">
        <w:rPr>
          <w:sz w:val="24"/>
        </w:rPr>
        <w:tab/>
      </w:r>
      <w:r w:rsidR="00D53794">
        <w:rPr>
          <w:sz w:val="24"/>
        </w:rPr>
        <w:tab/>
      </w:r>
      <w:r w:rsidR="00D53794">
        <w:rPr>
          <w:sz w:val="24"/>
        </w:rPr>
        <w:tab/>
        <w:t>Final Resolution Date: 12/31/18</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BA5885">
        <w:rPr>
          <w:sz w:val="24"/>
        </w:rPr>
        <w:tab/>
      </w:r>
      <w:r w:rsidR="00B9061A">
        <w:rPr>
          <w:sz w:val="24"/>
        </w:rPr>
        <w:t>120</w:t>
      </w:r>
      <w:r w:rsidR="004F005D">
        <w:rPr>
          <w:sz w:val="24"/>
        </w:rPr>
        <w:tab/>
      </w:r>
      <w:r w:rsidR="004F005D">
        <w:rPr>
          <w:sz w:val="24"/>
        </w:rPr>
        <w:tab/>
      </w:r>
      <w:r w:rsidR="004F005D">
        <w:rPr>
          <w:sz w:val="24"/>
        </w:rPr>
        <w:tab/>
        <w:t xml:space="preserve">Related Documents: </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lastRenderedPageBreak/>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43" w:rsidRDefault="002D1D43">
      <w:r>
        <w:separator/>
      </w:r>
    </w:p>
  </w:endnote>
  <w:endnote w:type="continuationSeparator" w:id="0">
    <w:p w:rsidR="002D1D43" w:rsidRDefault="002D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5940" w:rsidRDefault="00AA5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794">
      <w:rPr>
        <w:rStyle w:val="PageNumber"/>
        <w:noProof/>
      </w:rPr>
      <w:t>3</w:t>
    </w:r>
    <w:r>
      <w:rPr>
        <w:rStyle w:val="PageNumber"/>
      </w:rPr>
      <w:fldChar w:fldCharType="end"/>
    </w:r>
  </w:p>
  <w:p w:rsidR="00AA5940" w:rsidRDefault="00AA59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43" w:rsidRDefault="002D1D43">
      <w:r>
        <w:separator/>
      </w:r>
    </w:p>
  </w:footnote>
  <w:footnote w:type="continuationSeparator" w:id="0">
    <w:p w:rsidR="002D1D43" w:rsidRDefault="002D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27A46"/>
    <w:rsid w:val="0003344E"/>
    <w:rsid w:val="00051F10"/>
    <w:rsid w:val="00055F6E"/>
    <w:rsid w:val="00065F41"/>
    <w:rsid w:val="00082954"/>
    <w:rsid w:val="000B56B9"/>
    <w:rsid w:val="000D6396"/>
    <w:rsid w:val="000F3DC4"/>
    <w:rsid w:val="00164983"/>
    <w:rsid w:val="00181F08"/>
    <w:rsid w:val="001936A5"/>
    <w:rsid w:val="001A7313"/>
    <w:rsid w:val="002173DE"/>
    <w:rsid w:val="00224AC2"/>
    <w:rsid w:val="0022633C"/>
    <w:rsid w:val="002527E5"/>
    <w:rsid w:val="002D1D43"/>
    <w:rsid w:val="00315A43"/>
    <w:rsid w:val="00330019"/>
    <w:rsid w:val="00355FE2"/>
    <w:rsid w:val="00401DA4"/>
    <w:rsid w:val="0040766C"/>
    <w:rsid w:val="004455CD"/>
    <w:rsid w:val="00456FF1"/>
    <w:rsid w:val="0046526B"/>
    <w:rsid w:val="00473546"/>
    <w:rsid w:val="004F005D"/>
    <w:rsid w:val="00577C8C"/>
    <w:rsid w:val="005900E1"/>
    <w:rsid w:val="00593455"/>
    <w:rsid w:val="005A5FCC"/>
    <w:rsid w:val="00603001"/>
    <w:rsid w:val="006253DD"/>
    <w:rsid w:val="006726C0"/>
    <w:rsid w:val="006B1DE3"/>
    <w:rsid w:val="006B4570"/>
    <w:rsid w:val="007176D8"/>
    <w:rsid w:val="00733B80"/>
    <w:rsid w:val="00735657"/>
    <w:rsid w:val="00774E79"/>
    <w:rsid w:val="007917D8"/>
    <w:rsid w:val="007B0019"/>
    <w:rsid w:val="007B4711"/>
    <w:rsid w:val="007B7CE7"/>
    <w:rsid w:val="007C6038"/>
    <w:rsid w:val="007D17D9"/>
    <w:rsid w:val="008124AC"/>
    <w:rsid w:val="008137AD"/>
    <w:rsid w:val="00820099"/>
    <w:rsid w:val="00835556"/>
    <w:rsid w:val="00871306"/>
    <w:rsid w:val="00891091"/>
    <w:rsid w:val="008B1E26"/>
    <w:rsid w:val="008B6092"/>
    <w:rsid w:val="008F354B"/>
    <w:rsid w:val="00926697"/>
    <w:rsid w:val="00956EF7"/>
    <w:rsid w:val="00965864"/>
    <w:rsid w:val="00990A4A"/>
    <w:rsid w:val="0099458A"/>
    <w:rsid w:val="009A15B2"/>
    <w:rsid w:val="009E691A"/>
    <w:rsid w:val="00A1381B"/>
    <w:rsid w:val="00A70C8D"/>
    <w:rsid w:val="00A73B5F"/>
    <w:rsid w:val="00A76BAB"/>
    <w:rsid w:val="00A97105"/>
    <w:rsid w:val="00AA5940"/>
    <w:rsid w:val="00AB2E8F"/>
    <w:rsid w:val="00B428D7"/>
    <w:rsid w:val="00B87989"/>
    <w:rsid w:val="00B9061A"/>
    <w:rsid w:val="00BA0A99"/>
    <w:rsid w:val="00BA5516"/>
    <w:rsid w:val="00BA5885"/>
    <w:rsid w:val="00BC4F48"/>
    <w:rsid w:val="00BF0594"/>
    <w:rsid w:val="00C00788"/>
    <w:rsid w:val="00C40AB6"/>
    <w:rsid w:val="00CC69AA"/>
    <w:rsid w:val="00D32E1D"/>
    <w:rsid w:val="00D45AC1"/>
    <w:rsid w:val="00D53794"/>
    <w:rsid w:val="00D602C7"/>
    <w:rsid w:val="00D96D70"/>
    <w:rsid w:val="00DE6479"/>
    <w:rsid w:val="00E07791"/>
    <w:rsid w:val="00E1011D"/>
    <w:rsid w:val="00E45B3C"/>
    <w:rsid w:val="00E648A4"/>
    <w:rsid w:val="00EB4E36"/>
    <w:rsid w:val="00EC1986"/>
    <w:rsid w:val="00F251C0"/>
    <w:rsid w:val="00F26E77"/>
    <w:rsid w:val="00F42ED6"/>
    <w:rsid w:val="00F47934"/>
    <w:rsid w:val="00F60857"/>
    <w:rsid w:val="00F813B9"/>
    <w:rsid w:val="00FB75D6"/>
    <w:rsid w:val="00FF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775B3"/>
  <w15:chartTrackingRefBased/>
  <w15:docId w15:val="{54E08709-31C3-4157-9CD1-AD824883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380">
      <w:bodyDiv w:val="1"/>
      <w:marLeft w:val="0"/>
      <w:marRight w:val="0"/>
      <w:marTop w:val="0"/>
      <w:marBottom w:val="0"/>
      <w:divBdr>
        <w:top w:val="none" w:sz="0" w:space="0" w:color="auto"/>
        <w:left w:val="none" w:sz="0" w:space="0" w:color="auto"/>
        <w:bottom w:val="none" w:sz="0" w:space="0" w:color="auto"/>
        <w:right w:val="none" w:sz="0" w:space="0" w:color="auto"/>
      </w:divBdr>
    </w:div>
    <w:div w:id="89737408">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George Tsacnaris</dc:creator>
  <cp:keywords/>
  <cp:lastModifiedBy>Doherty, Michael</cp:lastModifiedBy>
  <cp:revision>3</cp:revision>
  <cp:lastPrinted>1999-05-19T19:58:00Z</cp:lastPrinted>
  <dcterms:created xsi:type="dcterms:W3CDTF">2019-03-19T16:49:00Z</dcterms:created>
  <dcterms:modified xsi:type="dcterms:W3CDTF">2019-05-28T17:04:00Z</dcterms:modified>
</cp:coreProperties>
</file>