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383EC9">
        <w:rPr>
          <w:sz w:val="24"/>
        </w:rPr>
        <w:t>02/25/2020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383EC9">
        <w:rPr>
          <w:sz w:val="24"/>
        </w:rPr>
        <w:t xml:space="preserve"> iconectiv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383EC9">
        <w:rPr>
          <w:sz w:val="24"/>
        </w:rPr>
        <w:t xml:space="preserve"> Steven Koch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383EC9">
        <w:rPr>
          <w:sz w:val="24"/>
        </w:rPr>
        <w:t>732-699-4644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383EC9">
        <w:rPr>
          <w:sz w:val="24"/>
        </w:rPr>
        <w:t>skoch@iconectiv.com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383EC9" w:rsidP="005B655C">
      <w:pPr>
        <w:pStyle w:val="BodyText2"/>
        <w:rPr>
          <w:sz w:val="20"/>
        </w:rPr>
      </w:pPr>
      <w:r>
        <w:rPr>
          <w:sz w:val="20"/>
        </w:rPr>
        <w:t>Existing Best Practice 0069</w:t>
      </w:r>
      <w:r w:rsidR="00CC2EE5">
        <w:rPr>
          <w:sz w:val="20"/>
        </w:rPr>
        <w:t xml:space="preserve"> indicates that users should inform the LNPA of large ports – defined as 25,000 or more TNs affected per hour – in advance of such porting activity, so that all service providers </w:t>
      </w:r>
      <w:proofErr w:type="gramStart"/>
      <w:r w:rsidR="00CC2EE5">
        <w:rPr>
          <w:sz w:val="20"/>
        </w:rPr>
        <w:t>can be informed</w:t>
      </w:r>
      <w:proofErr w:type="gramEnd"/>
      <w:r w:rsidR="00CC2EE5">
        <w:rPr>
          <w:sz w:val="20"/>
        </w:rPr>
        <w:t xml:space="preserve"> of the activity.  T</w:t>
      </w:r>
      <w:r w:rsidR="009B4782">
        <w:rPr>
          <w:sz w:val="20"/>
        </w:rPr>
        <w:t xml:space="preserve">he 25,000 </w:t>
      </w:r>
      <w:r w:rsidR="00CC2EE5">
        <w:rPr>
          <w:sz w:val="20"/>
        </w:rPr>
        <w:t xml:space="preserve">TN </w:t>
      </w:r>
      <w:r w:rsidR="009B4782">
        <w:rPr>
          <w:sz w:val="20"/>
        </w:rPr>
        <w:t>threshold</w:t>
      </w:r>
      <w:r w:rsidR="007A4407">
        <w:rPr>
          <w:sz w:val="20"/>
        </w:rPr>
        <w:t xml:space="preserve"> </w:t>
      </w:r>
      <w:r w:rsidR="009B4782">
        <w:rPr>
          <w:sz w:val="20"/>
        </w:rPr>
        <w:t>would result in</w:t>
      </w:r>
      <w:r w:rsidR="00CC2EE5">
        <w:rPr>
          <w:sz w:val="20"/>
        </w:rPr>
        <w:t xml:space="preserve"> </w:t>
      </w:r>
      <w:proofErr w:type="gramStart"/>
      <w:r w:rsidR="00CC2EE5">
        <w:rPr>
          <w:sz w:val="20"/>
        </w:rPr>
        <w:t>7</w:t>
      </w:r>
      <w:proofErr w:type="gramEnd"/>
      <w:r w:rsidR="00CC2EE5">
        <w:rPr>
          <w:sz w:val="20"/>
        </w:rPr>
        <w:t xml:space="preserve"> </w:t>
      </w:r>
      <w:r w:rsidR="009B4782">
        <w:rPr>
          <w:sz w:val="20"/>
        </w:rPr>
        <w:t xml:space="preserve">TN </w:t>
      </w:r>
      <w:r w:rsidR="00CC2EE5">
        <w:rPr>
          <w:sz w:val="20"/>
        </w:rPr>
        <w:t xml:space="preserve">downloads per second to </w:t>
      </w:r>
      <w:r w:rsidR="00D53929">
        <w:rPr>
          <w:sz w:val="20"/>
        </w:rPr>
        <w:t xml:space="preserve">each </w:t>
      </w:r>
      <w:r w:rsidR="00CC2EE5">
        <w:rPr>
          <w:sz w:val="20"/>
        </w:rPr>
        <w:t xml:space="preserve">LSMS, which is equivalent to the entire </w:t>
      </w:r>
      <w:r w:rsidR="009B4782">
        <w:rPr>
          <w:sz w:val="20"/>
        </w:rPr>
        <w:t xml:space="preserve">required </w:t>
      </w:r>
      <w:r w:rsidR="00CC2EE5">
        <w:rPr>
          <w:sz w:val="20"/>
        </w:rPr>
        <w:t xml:space="preserve">throughput rate of the LSMS interfaces.  </w:t>
      </w:r>
      <w:proofErr w:type="gramStart"/>
      <w:r w:rsidR="00CC2EE5">
        <w:rPr>
          <w:sz w:val="20"/>
        </w:rPr>
        <w:t>iconectiv</w:t>
      </w:r>
      <w:proofErr w:type="gramEnd"/>
      <w:r w:rsidR="00CC2EE5">
        <w:rPr>
          <w:sz w:val="20"/>
        </w:rPr>
        <w:t xml:space="preserve"> suggests that the 25,000 threshold be revisited. </w:t>
      </w:r>
    </w:p>
    <w:p w:rsidR="00CC2EE5" w:rsidRDefault="00CC2EE5" w:rsidP="005B655C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1A68D0" w:rsidRDefault="0085369F" w:rsidP="00ED3DEE">
      <w:pPr>
        <w:pStyle w:val="BodyText2"/>
        <w:rPr>
          <w:sz w:val="20"/>
        </w:rPr>
      </w:pPr>
      <w:r>
        <w:rPr>
          <w:sz w:val="20"/>
        </w:rPr>
        <w:t>Given</w:t>
      </w:r>
      <w:r w:rsidR="00CC2EE5">
        <w:rPr>
          <w:sz w:val="20"/>
        </w:rPr>
        <w:t xml:space="preserve"> the </w:t>
      </w:r>
      <w:r>
        <w:rPr>
          <w:sz w:val="20"/>
        </w:rPr>
        <w:t xml:space="preserve">existing </w:t>
      </w:r>
      <w:r w:rsidR="00CC2EE5">
        <w:rPr>
          <w:sz w:val="20"/>
        </w:rPr>
        <w:t xml:space="preserve">25,000/TN hour </w:t>
      </w:r>
      <w:r>
        <w:rPr>
          <w:sz w:val="20"/>
        </w:rPr>
        <w:t>threshold,</w:t>
      </w:r>
      <w:r w:rsidR="00CC2EE5">
        <w:rPr>
          <w:sz w:val="20"/>
        </w:rPr>
        <w:t xml:space="preserve"> </w:t>
      </w:r>
      <w:r>
        <w:rPr>
          <w:sz w:val="20"/>
        </w:rPr>
        <w:t xml:space="preserve">a </w:t>
      </w:r>
      <w:r w:rsidR="00CC2EE5">
        <w:rPr>
          <w:sz w:val="20"/>
        </w:rPr>
        <w:t>“large port” of less than 25,000 TN</w:t>
      </w:r>
      <w:r w:rsidR="00D53929">
        <w:rPr>
          <w:sz w:val="20"/>
        </w:rPr>
        <w:t>s/</w:t>
      </w:r>
      <w:r>
        <w:rPr>
          <w:sz w:val="20"/>
        </w:rPr>
        <w:t xml:space="preserve">hour does not warrant a notification, even if the large port results in a rate very close to 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 xml:space="preserve"> </w:t>
      </w:r>
      <w:r w:rsidR="00D53929">
        <w:rPr>
          <w:sz w:val="20"/>
        </w:rPr>
        <w:t>TNs</w:t>
      </w:r>
      <w:r>
        <w:rPr>
          <w:sz w:val="20"/>
        </w:rPr>
        <w:t xml:space="preserve"> per second to LSMSs</w:t>
      </w:r>
      <w:r w:rsidR="00CC2EE5">
        <w:rPr>
          <w:sz w:val="20"/>
        </w:rPr>
        <w:t xml:space="preserve">.  For example, a large port of 24,000 TNs, which would be an effective rate of 6.72 </w:t>
      </w:r>
      <w:r w:rsidR="00D53929">
        <w:rPr>
          <w:sz w:val="20"/>
        </w:rPr>
        <w:t>TNs</w:t>
      </w:r>
      <w:r w:rsidR="00CC2EE5">
        <w:rPr>
          <w:sz w:val="20"/>
        </w:rPr>
        <w:t xml:space="preserve"> per second to each LSMS, would not warrant a notice, per the existing wording of Best Practice 0069.</w:t>
      </w:r>
    </w:p>
    <w:p w:rsidR="0085369F" w:rsidRDefault="0085369F" w:rsidP="00ED3DEE">
      <w:pPr>
        <w:pStyle w:val="BodyText2"/>
        <w:rPr>
          <w:sz w:val="20"/>
        </w:rPr>
      </w:pPr>
    </w:p>
    <w:p w:rsidR="0085369F" w:rsidRDefault="0085369F" w:rsidP="00ED3DEE">
      <w:pPr>
        <w:pStyle w:val="BodyText2"/>
        <w:rPr>
          <w:sz w:val="20"/>
        </w:rPr>
      </w:pPr>
      <w:r>
        <w:rPr>
          <w:sz w:val="20"/>
        </w:rPr>
        <w:t xml:space="preserve">iconectiv believes the goal of the Best Practice is to inform users when a significant portion of the </w:t>
      </w:r>
      <w:r w:rsidR="004B35B0">
        <w:rPr>
          <w:sz w:val="20"/>
        </w:rPr>
        <w:t xml:space="preserve">required </w:t>
      </w:r>
      <w:r>
        <w:rPr>
          <w:sz w:val="20"/>
        </w:rPr>
        <w:t xml:space="preserve">capacity of the NPAC and LSMSs systems may be requested by a single user and to allow for coordination of </w:t>
      </w:r>
      <w:r w:rsidR="00D53929">
        <w:rPr>
          <w:sz w:val="20"/>
        </w:rPr>
        <w:t xml:space="preserve">users’ </w:t>
      </w:r>
      <w:r>
        <w:rPr>
          <w:sz w:val="20"/>
        </w:rPr>
        <w:t>large porting activities relative to other users</w:t>
      </w:r>
      <w:r w:rsidR="004A2F79">
        <w:rPr>
          <w:sz w:val="20"/>
        </w:rPr>
        <w:t>’ activities, including typical porting volumes</w:t>
      </w:r>
      <w:r>
        <w:rPr>
          <w:sz w:val="20"/>
        </w:rPr>
        <w:t xml:space="preserve">.  </w:t>
      </w:r>
    </w:p>
    <w:p w:rsidR="0085369F" w:rsidRDefault="0085369F" w:rsidP="00ED3DEE">
      <w:pPr>
        <w:pStyle w:val="BodyText2"/>
        <w:rPr>
          <w:sz w:val="20"/>
        </w:rPr>
      </w:pPr>
    </w:p>
    <w:p w:rsidR="00A80521" w:rsidRDefault="0068377A" w:rsidP="00ED3DEE">
      <w:pPr>
        <w:pStyle w:val="BodyText2"/>
        <w:rPr>
          <w:sz w:val="20"/>
        </w:rPr>
      </w:pPr>
      <w:r>
        <w:rPr>
          <w:sz w:val="20"/>
        </w:rPr>
        <w:t>The LNPA</w:t>
      </w:r>
      <w:r w:rsidR="0085369F">
        <w:rPr>
          <w:sz w:val="20"/>
        </w:rPr>
        <w:t xml:space="preserve"> has observed that LSMS systems generally </w:t>
      </w:r>
      <w:r w:rsidR="007A4407">
        <w:rPr>
          <w:sz w:val="20"/>
        </w:rPr>
        <w:t>are able</w:t>
      </w:r>
      <w:r w:rsidR="0085369F">
        <w:rPr>
          <w:sz w:val="20"/>
        </w:rPr>
        <w:t xml:space="preserve"> to keep up with </w:t>
      </w:r>
      <w:r w:rsidR="0085369F">
        <w:rPr>
          <w:sz w:val="20"/>
          <w:u w:val="single"/>
        </w:rPr>
        <w:t>sustained</w:t>
      </w:r>
      <w:r w:rsidR="00912B91">
        <w:rPr>
          <w:sz w:val="20"/>
        </w:rPr>
        <w:t xml:space="preserve"> rates </w:t>
      </w:r>
      <w:r w:rsidR="007A4407">
        <w:rPr>
          <w:sz w:val="20"/>
        </w:rPr>
        <w:t>of</w:t>
      </w:r>
      <w:r w:rsidR="0085369F">
        <w:rPr>
          <w:sz w:val="20"/>
        </w:rPr>
        <w:t xml:space="preserve"> </w:t>
      </w:r>
      <w:proofErr w:type="gramStart"/>
      <w:r w:rsidR="0085369F">
        <w:rPr>
          <w:sz w:val="20"/>
        </w:rPr>
        <w:t>7</w:t>
      </w:r>
      <w:proofErr w:type="gramEnd"/>
      <w:r w:rsidR="0085369F">
        <w:rPr>
          <w:sz w:val="20"/>
        </w:rPr>
        <w:t xml:space="preserve"> TNs/sec.  This is consistent with the “engineering assumption” made of LSMSs as part of Change Order NANC 397.  </w:t>
      </w:r>
      <w:r w:rsidR="009837B3">
        <w:rPr>
          <w:sz w:val="20"/>
        </w:rPr>
        <w:t>However, t</w:t>
      </w:r>
      <w:r>
        <w:rPr>
          <w:sz w:val="20"/>
        </w:rPr>
        <w:t>he LNPA</w:t>
      </w:r>
      <w:r w:rsidR="00B7067E">
        <w:rPr>
          <w:sz w:val="20"/>
        </w:rPr>
        <w:t xml:space="preserve"> </w:t>
      </w:r>
      <w:r w:rsidR="007A4407">
        <w:rPr>
          <w:sz w:val="20"/>
        </w:rPr>
        <w:t xml:space="preserve">has </w:t>
      </w:r>
      <w:r w:rsidR="00B7067E">
        <w:rPr>
          <w:sz w:val="20"/>
        </w:rPr>
        <w:t xml:space="preserve">observed that LSMSs systems are generally </w:t>
      </w:r>
      <w:r w:rsidR="00B7067E" w:rsidRPr="007A4407">
        <w:rPr>
          <w:sz w:val="20"/>
          <w:u w:val="single"/>
        </w:rPr>
        <w:t>unable</w:t>
      </w:r>
      <w:r w:rsidR="00B7067E">
        <w:rPr>
          <w:sz w:val="20"/>
        </w:rPr>
        <w:t xml:space="preserve"> to keep up with </w:t>
      </w:r>
      <w:r w:rsidR="00B7067E" w:rsidRPr="0086282D">
        <w:rPr>
          <w:sz w:val="20"/>
          <w:u w:val="single"/>
        </w:rPr>
        <w:t>sustained</w:t>
      </w:r>
      <w:r w:rsidR="00B7067E">
        <w:rPr>
          <w:sz w:val="20"/>
        </w:rPr>
        <w:t xml:space="preserve"> rates above the </w:t>
      </w:r>
      <w:proofErr w:type="gramStart"/>
      <w:r w:rsidR="00B7067E">
        <w:rPr>
          <w:sz w:val="20"/>
        </w:rPr>
        <w:t>7</w:t>
      </w:r>
      <w:proofErr w:type="gramEnd"/>
      <w:r w:rsidR="00B7067E">
        <w:rPr>
          <w:sz w:val="20"/>
        </w:rPr>
        <w:t xml:space="preserve"> TN</w:t>
      </w:r>
      <w:r w:rsidR="0086282D">
        <w:rPr>
          <w:sz w:val="20"/>
        </w:rPr>
        <w:t xml:space="preserve">s/sec.  </w:t>
      </w:r>
      <w:r w:rsidR="001C5604">
        <w:rPr>
          <w:sz w:val="20"/>
        </w:rPr>
        <w:t xml:space="preserve">Furthermore, at certain periods of the day, some LSMS systems are unable to achieve the </w:t>
      </w:r>
      <w:proofErr w:type="gramStart"/>
      <w:r w:rsidR="001C5604">
        <w:rPr>
          <w:sz w:val="20"/>
        </w:rPr>
        <w:t>7</w:t>
      </w:r>
      <w:proofErr w:type="gramEnd"/>
      <w:r w:rsidR="001C5604">
        <w:rPr>
          <w:sz w:val="20"/>
        </w:rPr>
        <w:t xml:space="preserve"> TN/sec rate.  </w:t>
      </w:r>
      <w:r w:rsidR="0086282D">
        <w:rPr>
          <w:sz w:val="20"/>
        </w:rPr>
        <w:t xml:space="preserve">When LSMS systems fall behind NPAC processing, results in failed downloads, which causes failed SP lists for subscription versions and number pool blocks. </w:t>
      </w:r>
      <w:r w:rsidR="001367DE">
        <w:rPr>
          <w:sz w:val="20"/>
        </w:rPr>
        <w:t xml:space="preserve"> Users are unable to take subsequent actions (e.g., modifications, activation of subsequent porting actions) on the TNs and thousands blocks that have associated failed SP lists.</w:t>
      </w:r>
      <w:r w:rsidR="0086282D">
        <w:rPr>
          <w:sz w:val="20"/>
        </w:rPr>
        <w:t xml:space="preserve"> </w:t>
      </w: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4A3C1E" w:rsidRDefault="004B35B0">
      <w:pPr>
        <w:pStyle w:val="BodyText2"/>
        <w:rPr>
          <w:sz w:val="20"/>
        </w:rPr>
      </w:pPr>
      <w:r>
        <w:rPr>
          <w:sz w:val="20"/>
        </w:rPr>
        <w:lastRenderedPageBreak/>
        <w:t>The rates of porting activities involving 12,000-</w:t>
      </w:r>
      <w:r w:rsidR="00D53929">
        <w:rPr>
          <w:sz w:val="20"/>
        </w:rPr>
        <w:t>2</w:t>
      </w:r>
      <w:r w:rsidR="00C23B10">
        <w:rPr>
          <w:sz w:val="20"/>
        </w:rPr>
        <w:t>4</w:t>
      </w:r>
      <w:r>
        <w:rPr>
          <w:sz w:val="20"/>
        </w:rPr>
        <w:t xml:space="preserve">,000 TNs/hour for multiple hours by a single user have been increasing over the past several months.  In some cases, large port notifications </w:t>
      </w:r>
      <w:proofErr w:type="gramStart"/>
      <w:r>
        <w:rPr>
          <w:sz w:val="20"/>
        </w:rPr>
        <w:t>have been sent</w:t>
      </w:r>
      <w:proofErr w:type="gramEnd"/>
      <w:r>
        <w:rPr>
          <w:sz w:val="20"/>
        </w:rPr>
        <w:t xml:space="preserve"> to inform users of larger ports, even if size of the overall job results in less than 25,000 TN</w:t>
      </w:r>
      <w:r w:rsidR="00EA6418">
        <w:rPr>
          <w:sz w:val="20"/>
        </w:rPr>
        <w:t>s/hour.</w:t>
      </w:r>
      <w:r>
        <w:rPr>
          <w:sz w:val="20"/>
        </w:rPr>
        <w:t xml:space="preserve">  </w:t>
      </w: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7B3B16" w:rsidRDefault="004B35B0">
      <w:pPr>
        <w:pStyle w:val="BodyText2"/>
        <w:rPr>
          <w:sz w:val="20"/>
        </w:rPr>
      </w:pPr>
      <w:r>
        <w:rPr>
          <w:sz w:val="20"/>
        </w:rPr>
        <w:t xml:space="preserve">Providing transparency into and advanced notice of significant porting activities that run for long durations (i.e., more than a few minutes), allows </w:t>
      </w:r>
      <w:proofErr w:type="gramStart"/>
      <w:r>
        <w:rPr>
          <w:sz w:val="20"/>
        </w:rPr>
        <w:t>for all</w:t>
      </w:r>
      <w:proofErr w:type="gramEnd"/>
      <w:r>
        <w:rPr>
          <w:sz w:val="20"/>
        </w:rPr>
        <w:t xml:space="preserve"> users to coordinate their activities.  Additionally, this allows for optimal use of the NPAC and LSMS resources that </w:t>
      </w:r>
      <w:proofErr w:type="gramStart"/>
      <w:r>
        <w:rPr>
          <w:sz w:val="20"/>
        </w:rPr>
        <w:t>are shared</w:t>
      </w:r>
      <w:proofErr w:type="gramEnd"/>
      <w:r>
        <w:rPr>
          <w:sz w:val="20"/>
        </w:rPr>
        <w:t xml:space="preserve"> by all users.  </w:t>
      </w:r>
    </w:p>
    <w:p w:rsidR="007B3B16" w:rsidRDefault="007B3B16">
      <w:pPr>
        <w:pStyle w:val="BodyText2"/>
        <w:rPr>
          <w:sz w:val="20"/>
        </w:rPr>
      </w:pPr>
    </w:p>
    <w:p w:rsidR="00C24A35" w:rsidRDefault="00C24A35" w:rsidP="00C24A35">
      <w:pPr>
        <w:pStyle w:val="BodyText2"/>
        <w:rPr>
          <w:sz w:val="20"/>
        </w:rPr>
      </w:pPr>
      <w:r>
        <w:rPr>
          <w:sz w:val="20"/>
        </w:rPr>
        <w:t xml:space="preserve">In a scenario where even a single user performs a significant job of 24,000 TNs/hour, other users performing typical porting volumes and/or large ports through the LNPA (i.e., Mass Update / Mass Port requests) </w:t>
      </w:r>
      <w:proofErr w:type="gramStart"/>
      <w:r>
        <w:rPr>
          <w:sz w:val="20"/>
        </w:rPr>
        <w:t>could be affected</w:t>
      </w:r>
      <w:proofErr w:type="gramEnd"/>
      <w:r>
        <w:rPr>
          <w:sz w:val="20"/>
        </w:rPr>
        <w:t xml:space="preserve"> and would have no advanced warning per the threshold set by Best Practice 0069. </w:t>
      </w:r>
    </w:p>
    <w:p w:rsidR="00C24A35" w:rsidRDefault="00C24A35">
      <w:pPr>
        <w:pStyle w:val="BodyText2"/>
        <w:rPr>
          <w:sz w:val="20"/>
        </w:rPr>
      </w:pPr>
    </w:p>
    <w:p w:rsidR="007B3B16" w:rsidRDefault="00C24A35">
      <w:pPr>
        <w:pStyle w:val="BodyText2"/>
        <w:rPr>
          <w:sz w:val="20"/>
        </w:rPr>
      </w:pPr>
      <w:r>
        <w:rPr>
          <w:sz w:val="20"/>
        </w:rPr>
        <w:t>As a further example, a</w:t>
      </w:r>
      <w:r w:rsidR="004B35B0">
        <w:rPr>
          <w:sz w:val="20"/>
        </w:rPr>
        <w:t xml:space="preserve">t the current 25,000 TN/hour threshold, two or three users could simultaneously execute significant porting activities </w:t>
      </w:r>
      <w:r w:rsidR="008318F6">
        <w:rPr>
          <w:sz w:val="20"/>
        </w:rPr>
        <w:t>(e.g., 15,000 – 24,000 TNs/</w:t>
      </w:r>
      <w:proofErr w:type="spellStart"/>
      <w:r w:rsidR="008318F6">
        <w:rPr>
          <w:sz w:val="20"/>
        </w:rPr>
        <w:t>hr</w:t>
      </w:r>
      <w:proofErr w:type="spellEnd"/>
      <w:r w:rsidR="008318F6">
        <w:rPr>
          <w:sz w:val="20"/>
        </w:rPr>
        <w:t xml:space="preserve"> each) </w:t>
      </w:r>
      <w:r w:rsidR="004B35B0">
        <w:rPr>
          <w:sz w:val="20"/>
        </w:rPr>
        <w:t>that would result in downloads rates to LSMSs well</w:t>
      </w:r>
      <w:r w:rsidR="002301F1">
        <w:rPr>
          <w:sz w:val="20"/>
        </w:rPr>
        <w:t xml:space="preserve"> abov</w:t>
      </w:r>
      <w:r w:rsidR="00EA6418">
        <w:rPr>
          <w:sz w:val="20"/>
        </w:rPr>
        <w:t xml:space="preserve">e the </w:t>
      </w:r>
      <w:proofErr w:type="gramStart"/>
      <w:r w:rsidR="00EA6418">
        <w:rPr>
          <w:sz w:val="20"/>
        </w:rPr>
        <w:t>7</w:t>
      </w:r>
      <w:proofErr w:type="gramEnd"/>
      <w:r w:rsidR="00EA6418">
        <w:rPr>
          <w:sz w:val="20"/>
        </w:rPr>
        <w:t xml:space="preserve"> transactions/sec, but Best Practice 0069 would suggest that no</w:t>
      </w:r>
      <w:r w:rsidR="002301F1">
        <w:rPr>
          <w:sz w:val="20"/>
        </w:rPr>
        <w:t xml:space="preserve"> notification would be sent to users in advance of </w:t>
      </w:r>
      <w:r w:rsidR="00D53929">
        <w:rPr>
          <w:sz w:val="20"/>
        </w:rPr>
        <w:t>such</w:t>
      </w:r>
      <w:r w:rsidR="002301F1">
        <w:rPr>
          <w:sz w:val="20"/>
        </w:rPr>
        <w:t xml:space="preserve"> activity.</w:t>
      </w:r>
      <w:r w:rsidR="007B3B16">
        <w:rPr>
          <w:sz w:val="20"/>
        </w:rPr>
        <w:t xml:space="preserve">  </w:t>
      </w:r>
    </w:p>
    <w:p w:rsidR="007B3B16" w:rsidRDefault="007B3B16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4A3C1E" w:rsidRDefault="002301F1">
      <w:pPr>
        <w:pStyle w:val="BodyText2"/>
        <w:rPr>
          <w:sz w:val="20"/>
        </w:rPr>
      </w:pPr>
      <w:r>
        <w:rPr>
          <w:sz w:val="20"/>
        </w:rPr>
        <w:t>N/A</w:t>
      </w: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6E54DE" w:rsidRPr="00D53929" w:rsidRDefault="00D53929" w:rsidP="00F17DA1">
      <w:pPr>
        <w:pStyle w:val="BodyText2"/>
        <w:rPr>
          <w:sz w:val="20"/>
        </w:rPr>
      </w:pPr>
      <w:r w:rsidRPr="00D53929">
        <w:rPr>
          <w:sz w:val="20"/>
        </w:rPr>
        <w:t>None</w:t>
      </w: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306219" w:rsidRDefault="00306219">
      <w:pPr>
        <w:pStyle w:val="BodyText3"/>
      </w:pPr>
    </w:p>
    <w:p w:rsidR="00A80521" w:rsidRDefault="002301F1">
      <w:pPr>
        <w:pStyle w:val="BodyText3"/>
      </w:pPr>
      <w:proofErr w:type="gramStart"/>
      <w:r>
        <w:t>iconectiv</w:t>
      </w:r>
      <w:proofErr w:type="gramEnd"/>
      <w:r>
        <w:t xml:space="preserve"> suggests that Best Practice 0069 be </w:t>
      </w:r>
      <w:r w:rsidR="00080FAC">
        <w:t>revised</w:t>
      </w:r>
      <w:r>
        <w:t xml:space="preserve"> to </w:t>
      </w:r>
      <w:r w:rsidR="00080FAC">
        <w:t>lower the existing</w:t>
      </w:r>
      <w:r>
        <w:t xml:space="preserve"> 25,</w:t>
      </w:r>
      <w:r w:rsidR="00080FAC">
        <w:t>000 TN/hour threshold for notification</w:t>
      </w:r>
      <w:r>
        <w:t xml:space="preserve">.  </w:t>
      </w:r>
      <w:bookmarkStart w:id="0" w:name="_GoBack"/>
      <w:bookmarkEnd w:id="0"/>
    </w:p>
    <w:p w:rsidR="00A80521" w:rsidRDefault="00A80521">
      <w:pPr>
        <w:pStyle w:val="BodyText3"/>
      </w:pP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BD4EAA" w:rsidRDefault="00BD4EAA" w:rsidP="00BD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>
        <w:rPr>
          <w:sz w:val="24"/>
        </w:rPr>
        <w:lastRenderedPageBreak/>
        <w:t xml:space="preserve">Best Practice 0069 </w:t>
      </w:r>
      <w:proofErr w:type="gramStart"/>
      <w:r>
        <w:rPr>
          <w:sz w:val="24"/>
        </w:rPr>
        <w:t>was revised</w:t>
      </w:r>
      <w:proofErr w:type="gramEnd"/>
      <w:r>
        <w:rPr>
          <w:sz w:val="24"/>
        </w:rPr>
        <w:t xml:space="preserve"> to indicate a new threshold of 12,500 TN/hour.  The revised best practice </w:t>
      </w:r>
      <w:proofErr w:type="gramStart"/>
      <w:r>
        <w:rPr>
          <w:sz w:val="24"/>
        </w:rPr>
        <w:t>was posted</w:t>
      </w:r>
      <w:proofErr w:type="gramEnd"/>
      <w:r>
        <w:rPr>
          <w:sz w:val="24"/>
        </w:rPr>
        <w:t xml:space="preserve"> to numberportability.com, and related user M&amp;Ps were updated to reflect the new threshold.  An email notice </w:t>
      </w:r>
      <w:proofErr w:type="gramStart"/>
      <w:r>
        <w:rPr>
          <w:sz w:val="24"/>
        </w:rPr>
        <w:t>was sent</w:t>
      </w:r>
      <w:proofErr w:type="gramEnd"/>
      <w:r>
        <w:rPr>
          <w:sz w:val="24"/>
        </w:rPr>
        <w:t xml:space="preserve"> to the cross-regional distribution list in March 2020 to inform users of the updates.</w:t>
      </w:r>
    </w:p>
    <w:p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:rsidR="00913A91" w:rsidRDefault="00913A91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  <w:t>Final Resolution Date:</w:t>
      </w:r>
      <w:r w:rsidR="009E67A9">
        <w:rPr>
          <w:sz w:val="24"/>
        </w:rPr>
        <w:t xml:space="preserve"> 4/7/2020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>PIM</w:t>
      </w:r>
      <w:r w:rsidR="00913A91">
        <w:rPr>
          <w:sz w:val="24"/>
        </w:rPr>
        <w:t xml:space="preserve"> #</w:t>
      </w:r>
      <w:r w:rsidR="00B058C4">
        <w:rPr>
          <w:sz w:val="24"/>
        </w:rPr>
        <w:t>129</w:t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 w:rsidRPr="009A6F2A">
        <w:rPr>
          <w:sz w:val="24"/>
        </w:rPr>
        <w:t>Related Documents:</w:t>
      </w:r>
      <w:r w:rsidR="009E67A9">
        <w:rPr>
          <w:sz w:val="24"/>
        </w:rPr>
        <w:t xml:space="preserve"> BP 0069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 xml:space="preserve">Why Issue </w:t>
      </w:r>
      <w:proofErr w:type="gramStart"/>
      <w:r>
        <w:rPr>
          <w:sz w:val="24"/>
        </w:rPr>
        <w:t>Referred:</w:t>
      </w:r>
      <w:proofErr w:type="gramEnd"/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06" w:rsidRDefault="00AE3106">
      <w:r>
        <w:separator/>
      </w:r>
    </w:p>
  </w:endnote>
  <w:endnote w:type="continuationSeparator" w:id="0">
    <w:p w:rsidR="00AE3106" w:rsidRDefault="00A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7A9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06" w:rsidRDefault="00AE3106">
      <w:r>
        <w:separator/>
      </w:r>
    </w:p>
  </w:footnote>
  <w:footnote w:type="continuationSeparator" w:id="0">
    <w:p w:rsidR="00AE3106" w:rsidRDefault="00AE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3214C"/>
    <w:rsid w:val="000628C3"/>
    <w:rsid w:val="00066FB5"/>
    <w:rsid w:val="00080FAC"/>
    <w:rsid w:val="000870ED"/>
    <w:rsid w:val="0009434D"/>
    <w:rsid w:val="000C16CD"/>
    <w:rsid w:val="000C58C0"/>
    <w:rsid w:val="00115727"/>
    <w:rsid w:val="001259A7"/>
    <w:rsid w:val="00131143"/>
    <w:rsid w:val="001367DE"/>
    <w:rsid w:val="00145BB3"/>
    <w:rsid w:val="00151109"/>
    <w:rsid w:val="00175C7B"/>
    <w:rsid w:val="00195B4E"/>
    <w:rsid w:val="001A1A5E"/>
    <w:rsid w:val="001A3888"/>
    <w:rsid w:val="001A68D0"/>
    <w:rsid w:val="001A7515"/>
    <w:rsid w:val="001B569F"/>
    <w:rsid w:val="001C082F"/>
    <w:rsid w:val="001C2986"/>
    <w:rsid w:val="001C5604"/>
    <w:rsid w:val="00206A14"/>
    <w:rsid w:val="00216184"/>
    <w:rsid w:val="002171A6"/>
    <w:rsid w:val="0022720C"/>
    <w:rsid w:val="002301F1"/>
    <w:rsid w:val="0025574E"/>
    <w:rsid w:val="00257EF2"/>
    <w:rsid w:val="00280E29"/>
    <w:rsid w:val="00281F67"/>
    <w:rsid w:val="002923CC"/>
    <w:rsid w:val="002A4C42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83EC9"/>
    <w:rsid w:val="003A0FDF"/>
    <w:rsid w:val="003A319C"/>
    <w:rsid w:val="003A5075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2F79"/>
    <w:rsid w:val="004A3C1E"/>
    <w:rsid w:val="004B35B0"/>
    <w:rsid w:val="004B4809"/>
    <w:rsid w:val="004C1DB8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001D"/>
    <w:rsid w:val="0053363B"/>
    <w:rsid w:val="00537F06"/>
    <w:rsid w:val="005511C4"/>
    <w:rsid w:val="00551757"/>
    <w:rsid w:val="00565B84"/>
    <w:rsid w:val="00582722"/>
    <w:rsid w:val="005A61A9"/>
    <w:rsid w:val="005B655C"/>
    <w:rsid w:val="005E0106"/>
    <w:rsid w:val="00600CDD"/>
    <w:rsid w:val="006138FF"/>
    <w:rsid w:val="00640982"/>
    <w:rsid w:val="00641B71"/>
    <w:rsid w:val="00675A29"/>
    <w:rsid w:val="00682CB4"/>
    <w:rsid w:val="00683644"/>
    <w:rsid w:val="0068377A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4407"/>
    <w:rsid w:val="007A6F81"/>
    <w:rsid w:val="007B3B16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18F6"/>
    <w:rsid w:val="00834420"/>
    <w:rsid w:val="00834C1D"/>
    <w:rsid w:val="0083598C"/>
    <w:rsid w:val="0085369F"/>
    <w:rsid w:val="0086282D"/>
    <w:rsid w:val="0087167B"/>
    <w:rsid w:val="00886D22"/>
    <w:rsid w:val="00892EE7"/>
    <w:rsid w:val="008A2443"/>
    <w:rsid w:val="008B20C3"/>
    <w:rsid w:val="008B3CA9"/>
    <w:rsid w:val="008C23E1"/>
    <w:rsid w:val="008C5A62"/>
    <w:rsid w:val="008D75CD"/>
    <w:rsid w:val="008E6752"/>
    <w:rsid w:val="008E682D"/>
    <w:rsid w:val="008F6CA8"/>
    <w:rsid w:val="009009F1"/>
    <w:rsid w:val="00905BA4"/>
    <w:rsid w:val="00912B91"/>
    <w:rsid w:val="00913A91"/>
    <w:rsid w:val="00922824"/>
    <w:rsid w:val="00924312"/>
    <w:rsid w:val="00926438"/>
    <w:rsid w:val="00935380"/>
    <w:rsid w:val="00937D3A"/>
    <w:rsid w:val="0097484E"/>
    <w:rsid w:val="009821DE"/>
    <w:rsid w:val="009837B3"/>
    <w:rsid w:val="0099315E"/>
    <w:rsid w:val="009A3FDA"/>
    <w:rsid w:val="009A6576"/>
    <w:rsid w:val="009A6F2A"/>
    <w:rsid w:val="009B3B8A"/>
    <w:rsid w:val="009B4782"/>
    <w:rsid w:val="009C3970"/>
    <w:rsid w:val="009E67A9"/>
    <w:rsid w:val="009F1E2D"/>
    <w:rsid w:val="00A04B52"/>
    <w:rsid w:val="00A1613B"/>
    <w:rsid w:val="00A31915"/>
    <w:rsid w:val="00A359B6"/>
    <w:rsid w:val="00A367DE"/>
    <w:rsid w:val="00A654CC"/>
    <w:rsid w:val="00A74B06"/>
    <w:rsid w:val="00A80521"/>
    <w:rsid w:val="00A92628"/>
    <w:rsid w:val="00A92A53"/>
    <w:rsid w:val="00AB4F4D"/>
    <w:rsid w:val="00AB7D35"/>
    <w:rsid w:val="00AC6D9A"/>
    <w:rsid w:val="00AD0742"/>
    <w:rsid w:val="00AD34DF"/>
    <w:rsid w:val="00AD6687"/>
    <w:rsid w:val="00AD6BAB"/>
    <w:rsid w:val="00AE146F"/>
    <w:rsid w:val="00AE3106"/>
    <w:rsid w:val="00AF3494"/>
    <w:rsid w:val="00AF4878"/>
    <w:rsid w:val="00AF5566"/>
    <w:rsid w:val="00B058C4"/>
    <w:rsid w:val="00B104E0"/>
    <w:rsid w:val="00B1558D"/>
    <w:rsid w:val="00B159A7"/>
    <w:rsid w:val="00B16D3B"/>
    <w:rsid w:val="00B26708"/>
    <w:rsid w:val="00B616D9"/>
    <w:rsid w:val="00B701FE"/>
    <w:rsid w:val="00B7067E"/>
    <w:rsid w:val="00B7537D"/>
    <w:rsid w:val="00BD0B37"/>
    <w:rsid w:val="00BD4651"/>
    <w:rsid w:val="00BD4EAA"/>
    <w:rsid w:val="00C107BF"/>
    <w:rsid w:val="00C12BFE"/>
    <w:rsid w:val="00C141A7"/>
    <w:rsid w:val="00C14310"/>
    <w:rsid w:val="00C20F56"/>
    <w:rsid w:val="00C23B10"/>
    <w:rsid w:val="00C24A35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2EE5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53929"/>
    <w:rsid w:val="00D5750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33C19"/>
    <w:rsid w:val="00E565EA"/>
    <w:rsid w:val="00E80D4E"/>
    <w:rsid w:val="00E91435"/>
    <w:rsid w:val="00EA6418"/>
    <w:rsid w:val="00ED1CD2"/>
    <w:rsid w:val="00ED333E"/>
    <w:rsid w:val="00ED3DEE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35C6"/>
    <w:rsid w:val="00FB4388"/>
    <w:rsid w:val="00FB5B43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8670C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iconectiv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3</cp:revision>
  <cp:lastPrinted>1999-05-19T19:58:00Z</cp:lastPrinted>
  <dcterms:created xsi:type="dcterms:W3CDTF">2020-04-09T14:49:00Z</dcterms:created>
  <dcterms:modified xsi:type="dcterms:W3CDTF">2020-04-09T14:51:00Z</dcterms:modified>
</cp:coreProperties>
</file>