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8859E2">
        <w:rPr>
          <w:sz w:val="24"/>
        </w:rPr>
        <w:t>0</w:t>
      </w:r>
      <w:r w:rsidR="009E44BF">
        <w:rPr>
          <w:sz w:val="24"/>
        </w:rPr>
        <w:t>5</w:t>
      </w:r>
      <w:r w:rsidR="008859E2">
        <w:rPr>
          <w:sz w:val="24"/>
        </w:rPr>
        <w:t>/</w:t>
      </w:r>
      <w:r w:rsidR="009E44BF">
        <w:rPr>
          <w:sz w:val="24"/>
        </w:rPr>
        <w:t>13</w:t>
      </w:r>
      <w:r w:rsidR="008859E2">
        <w:rPr>
          <w:sz w:val="24"/>
        </w:rPr>
        <w:t>/2020</w:t>
      </w:r>
      <w:r>
        <w:rPr>
          <w:sz w:val="24"/>
        </w:rPr>
        <w:t xml:space="preserve">):  </w:t>
      </w:r>
      <w:r w:rsidR="00794DB6">
        <w:rPr>
          <w:sz w:val="24"/>
        </w:rPr>
        <w:tab/>
      </w:r>
      <w:r w:rsidR="00794DB6">
        <w:rPr>
          <w:sz w:val="24"/>
        </w:rPr>
        <w:tab/>
      </w:r>
      <w:r w:rsidR="00794DB6">
        <w:rPr>
          <w:sz w:val="24"/>
        </w:rPr>
        <w:tab/>
      </w:r>
      <w:r w:rsidR="00794DB6">
        <w:rPr>
          <w:sz w:val="24"/>
        </w:rPr>
        <w:tab/>
      </w:r>
      <w:r w:rsidR="00794DB6">
        <w:rPr>
          <w:sz w:val="24"/>
        </w:rPr>
        <w:tab/>
      </w:r>
      <w:r w:rsidR="00794DB6">
        <w:rPr>
          <w:sz w:val="24"/>
        </w:rPr>
        <w:tab/>
      </w:r>
      <w:bookmarkStart w:id="0" w:name="_GoBack"/>
      <w:bookmarkEnd w:id="0"/>
      <w:r w:rsidR="00794DB6" w:rsidRPr="00794DB6">
        <w:rPr>
          <w:b/>
          <w:sz w:val="24"/>
        </w:rPr>
        <w:t>PIM</w:t>
      </w:r>
      <w:r w:rsidR="00794DB6" w:rsidRPr="00794DB6">
        <w:rPr>
          <w:b/>
          <w:sz w:val="24"/>
        </w:rPr>
        <w:t xml:space="preserve"> </w:t>
      </w:r>
      <w:r w:rsidR="00794DB6" w:rsidRPr="00794DB6">
        <w:rPr>
          <w:b/>
          <w:sz w:val="24"/>
        </w:rPr>
        <w:t>131 v2</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859E2">
        <w:rPr>
          <w:sz w:val="24"/>
        </w:rPr>
        <w:t xml:space="preserve"> iconectiv</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859E2">
        <w:rPr>
          <w:sz w:val="24"/>
        </w:rPr>
        <w:t xml:space="preserve"> </w:t>
      </w:r>
      <w:r w:rsidR="009E44BF">
        <w:rPr>
          <w:sz w:val="24"/>
        </w:rPr>
        <w:t>Michael Doherty</w:t>
      </w:r>
    </w:p>
    <w:p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8859E2">
        <w:rPr>
          <w:sz w:val="24"/>
        </w:rPr>
        <w:t>732-699-</w:t>
      </w:r>
      <w:r w:rsidR="009E44BF">
        <w:rPr>
          <w:sz w:val="24"/>
        </w:rPr>
        <w:t>6381</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sidR="00B03397">
        <w:rPr>
          <w:sz w:val="24"/>
        </w:rPr>
        <w:t>mdoherty</w:t>
      </w:r>
      <w:r w:rsidR="008859E2">
        <w:rPr>
          <w:sz w:val="24"/>
        </w:rPr>
        <w:t>@iconectiv.com</w:t>
      </w:r>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D34853" w:rsidRDefault="00D34853" w:rsidP="00451356">
      <w:pPr>
        <w:pStyle w:val="BodyText2"/>
        <w:rPr>
          <w:sz w:val="20"/>
        </w:rPr>
      </w:pPr>
      <w:r>
        <w:rPr>
          <w:sz w:val="20"/>
        </w:rPr>
        <w:t xml:space="preserve">LNP Best Practice 0004 </w:t>
      </w:r>
      <w:r w:rsidR="00367B16">
        <w:rPr>
          <w:sz w:val="20"/>
        </w:rPr>
        <w:t xml:space="preserve">– N-1 Carrier Methodology </w:t>
      </w:r>
      <w:r w:rsidR="00162160">
        <w:rPr>
          <w:sz w:val="20"/>
        </w:rPr>
        <w:t>addresses</w:t>
      </w:r>
      <w:r>
        <w:rPr>
          <w:sz w:val="20"/>
        </w:rPr>
        <w:t xml:space="preserve"> the </w:t>
      </w:r>
      <w:r w:rsidR="00162160">
        <w:rPr>
          <w:sz w:val="20"/>
        </w:rPr>
        <w:t>FCC requirement that the “N-1” carrier (2</w:t>
      </w:r>
      <w:r w:rsidR="00162160" w:rsidRPr="00162160">
        <w:rPr>
          <w:sz w:val="20"/>
          <w:vertAlign w:val="superscript"/>
        </w:rPr>
        <w:t>nd</w:t>
      </w:r>
      <w:r w:rsidR="00162160">
        <w:rPr>
          <w:sz w:val="20"/>
        </w:rPr>
        <w:t xml:space="preserve"> to last carrier) should perform the </w:t>
      </w:r>
      <w:proofErr w:type="gramStart"/>
      <w:r w:rsidR="00162160">
        <w:rPr>
          <w:sz w:val="20"/>
        </w:rPr>
        <w:t>number portability database query</w:t>
      </w:r>
      <w:proofErr w:type="gramEnd"/>
      <w:r w:rsidR="00162160">
        <w:rPr>
          <w:sz w:val="20"/>
        </w:rPr>
        <w:t>.</w:t>
      </w:r>
      <w:r w:rsidR="00451356">
        <w:rPr>
          <w:sz w:val="20"/>
        </w:rPr>
        <w:t xml:space="preserve"> </w:t>
      </w:r>
      <w:r w:rsidR="00866EFC">
        <w:rPr>
          <w:sz w:val="20"/>
        </w:rPr>
        <w:t>FCC 18-95</w:t>
      </w:r>
      <w:r w:rsidR="00173D86">
        <w:rPr>
          <w:sz w:val="20"/>
        </w:rPr>
        <w:t xml:space="preserve"> ease</w:t>
      </w:r>
      <w:r w:rsidR="004F7088">
        <w:rPr>
          <w:sz w:val="20"/>
        </w:rPr>
        <w:t>d</w:t>
      </w:r>
      <w:r w:rsidR="00367B16">
        <w:rPr>
          <w:sz w:val="20"/>
        </w:rPr>
        <w:t xml:space="preserve"> </w:t>
      </w:r>
      <w:r w:rsidR="00451356" w:rsidRPr="00D34853">
        <w:rPr>
          <w:sz w:val="20"/>
        </w:rPr>
        <w:t>the</w:t>
      </w:r>
      <w:r w:rsidR="004F7088">
        <w:rPr>
          <w:sz w:val="20"/>
        </w:rPr>
        <w:t xml:space="preserve"> Commission’s “N-1” requirement</w:t>
      </w:r>
      <w:r w:rsidR="00451356" w:rsidRPr="00D34853">
        <w:rPr>
          <w:sz w:val="20"/>
        </w:rPr>
        <w:t xml:space="preserve"> to allow carriers flexibility in conducting number portability database queries to promote NNP</w:t>
      </w:r>
      <w:r w:rsidR="00502ADA">
        <w:rPr>
          <w:sz w:val="20"/>
        </w:rPr>
        <w:t xml:space="preserve"> (Nationwide Number Portability) </w:t>
      </w:r>
      <w:r w:rsidR="00451356" w:rsidRPr="00D34853">
        <w:rPr>
          <w:sz w:val="20"/>
        </w:rPr>
        <w:t xml:space="preserve"> and efficient netw</w:t>
      </w:r>
      <w:r w:rsidR="00451356">
        <w:rPr>
          <w:sz w:val="20"/>
        </w:rPr>
        <w:t xml:space="preserve">ork routing </w:t>
      </w:r>
      <w:r w:rsidR="004F7088">
        <w:rPr>
          <w:sz w:val="20"/>
        </w:rPr>
        <w:t xml:space="preserve">thus </w:t>
      </w:r>
      <w:r w:rsidR="00451356">
        <w:rPr>
          <w:sz w:val="20"/>
        </w:rPr>
        <w:t>chang</w:t>
      </w:r>
      <w:r w:rsidR="004F7088">
        <w:rPr>
          <w:sz w:val="20"/>
        </w:rPr>
        <w:t>ing</w:t>
      </w:r>
      <w:r w:rsidR="00451356">
        <w:rPr>
          <w:sz w:val="20"/>
        </w:rPr>
        <w:t xml:space="preserve"> the process </w:t>
      </w:r>
      <w:r w:rsidR="00502ADA">
        <w:rPr>
          <w:sz w:val="20"/>
        </w:rPr>
        <w:t>and there</w:t>
      </w:r>
      <w:r w:rsidR="00451356">
        <w:rPr>
          <w:sz w:val="20"/>
        </w:rPr>
        <w:t>by necessitating an update to Best Practice 0004</w:t>
      </w:r>
      <w:r w:rsidR="00162160">
        <w:rPr>
          <w:sz w:val="20"/>
        </w:rPr>
        <w:t xml:space="preserve"> </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rsidR="00A80521" w:rsidRDefault="00A80521" w:rsidP="00ED3DEE">
      <w:pPr>
        <w:pStyle w:val="BodyText2"/>
        <w:rPr>
          <w:sz w:val="20"/>
        </w:rPr>
      </w:pPr>
    </w:p>
    <w:p w:rsidR="00281F67" w:rsidRDefault="00281F67">
      <w:pPr>
        <w:rPr>
          <w:sz w:val="24"/>
        </w:rPr>
      </w:pPr>
    </w:p>
    <w:p w:rsidR="00CD0697" w:rsidRDefault="00281F67">
      <w:pPr>
        <w:pStyle w:val="BodyText2"/>
        <w:rPr>
          <w:sz w:val="20"/>
        </w:rPr>
      </w:pPr>
      <w:r>
        <w:rPr>
          <w:sz w:val="20"/>
        </w:rPr>
        <w:t>B.   Frequency of O</w:t>
      </w:r>
      <w:r w:rsidR="005B655C">
        <w:rPr>
          <w:sz w:val="20"/>
        </w:rPr>
        <w:t>ccurrence:</w:t>
      </w:r>
    </w:p>
    <w:p w:rsidR="00A80521" w:rsidRDefault="00EA1D65">
      <w:pPr>
        <w:pStyle w:val="BodyText2"/>
        <w:rPr>
          <w:sz w:val="20"/>
        </w:rPr>
      </w:pPr>
      <w:r>
        <w:rPr>
          <w:sz w:val="20"/>
        </w:rPr>
        <w:t xml:space="preserve">A query of the number portability database </w:t>
      </w:r>
      <w:proofErr w:type="gramStart"/>
      <w:r>
        <w:rPr>
          <w:sz w:val="20"/>
        </w:rPr>
        <w:t>is performed</w:t>
      </w:r>
      <w:proofErr w:type="gramEnd"/>
      <w:r>
        <w:rPr>
          <w:sz w:val="20"/>
        </w:rPr>
        <w:t xml:space="preserve"> on every call.</w:t>
      </w: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182F21" w:rsidRDefault="00EA1D65">
      <w:pPr>
        <w:pStyle w:val="BodyText2"/>
        <w:rPr>
          <w:sz w:val="20"/>
        </w:rPr>
      </w:pPr>
      <w:r>
        <w:rPr>
          <w:sz w:val="20"/>
        </w:rPr>
        <w:t>T</w:t>
      </w:r>
      <w:r w:rsidRPr="00451356">
        <w:rPr>
          <w:sz w:val="20"/>
        </w:rPr>
        <w:t>he motivating concerns that caused the NANC to recommend and the Commission to implement the N</w:t>
      </w:r>
      <w:r>
        <w:rPr>
          <w:sz w:val="20"/>
        </w:rPr>
        <w:t>-1 requirement no longer</w:t>
      </w:r>
      <w:r w:rsidRPr="00451356">
        <w:rPr>
          <w:sz w:val="20"/>
        </w:rPr>
        <w:t xml:space="preserve"> a</w:t>
      </w:r>
      <w:r w:rsidR="00502ADA">
        <w:rPr>
          <w:sz w:val="20"/>
        </w:rPr>
        <w:t xml:space="preserve">pply. When it was first </w:t>
      </w:r>
      <w:proofErr w:type="gramStart"/>
      <w:r w:rsidR="00502ADA">
        <w:rPr>
          <w:sz w:val="20"/>
        </w:rPr>
        <w:t>adopted</w:t>
      </w:r>
      <w:proofErr w:type="gramEnd"/>
      <w:r w:rsidRPr="00451356">
        <w:rPr>
          <w:sz w:val="20"/>
        </w:rPr>
        <w:t xml:space="preserve"> the N-1 requirement was favored over requiring originating carriers to perform the database query</w:t>
      </w:r>
      <w:r w:rsidR="00761A89">
        <w:rPr>
          <w:sz w:val="20"/>
        </w:rPr>
        <w:t>.</w:t>
      </w:r>
      <w:r w:rsidRPr="00451356">
        <w:rPr>
          <w:sz w:val="20"/>
        </w:rPr>
        <w:t xml:space="preserve"> </w:t>
      </w:r>
      <w:r w:rsidR="00761A89">
        <w:rPr>
          <w:sz w:val="20"/>
        </w:rPr>
        <w:t>T</w:t>
      </w:r>
      <w:r w:rsidRPr="00451356">
        <w:rPr>
          <w:sz w:val="20"/>
        </w:rPr>
        <w:t xml:space="preserve">his latter solution would have required every local carrier across the country to adopt LNP simultaneously in a “flash-cut” manner for LNP to work, requiring </w:t>
      </w:r>
      <w:r w:rsidR="00761A89">
        <w:rPr>
          <w:sz w:val="20"/>
        </w:rPr>
        <w:t xml:space="preserve">a </w:t>
      </w:r>
      <w:r w:rsidRPr="00451356">
        <w:rPr>
          <w:sz w:val="20"/>
        </w:rPr>
        <w:t>more complicated coordination of the LNP rollout.</w:t>
      </w:r>
    </w:p>
    <w:p w:rsidR="00182F21" w:rsidRDefault="00EA1D65">
      <w:pPr>
        <w:pStyle w:val="BodyText2"/>
        <w:rPr>
          <w:sz w:val="20"/>
        </w:rPr>
      </w:pPr>
      <w:r w:rsidRPr="00451356">
        <w:rPr>
          <w:sz w:val="20"/>
        </w:rPr>
        <w:t>Moreover, in an environment of many competing interexchange carriers and restrictions on incumbent LECs from offering interexchange services, interchange carriers “wanted to ensure that they were involved in this important aspect of call processing.”</w:t>
      </w:r>
    </w:p>
    <w:p w:rsidR="00A80521" w:rsidRDefault="00EA1D65">
      <w:pPr>
        <w:pStyle w:val="BodyText2"/>
        <w:rPr>
          <w:sz w:val="20"/>
        </w:rPr>
      </w:pPr>
      <w:r w:rsidRPr="00451356">
        <w:rPr>
          <w:sz w:val="20"/>
        </w:rPr>
        <w:t>Since LNP has by now been broadly and successfully adopted nationwide, and in light of the changed compe</w:t>
      </w:r>
      <w:r w:rsidR="00182F21">
        <w:rPr>
          <w:sz w:val="20"/>
        </w:rPr>
        <w:t xml:space="preserve">titive landscape, </w:t>
      </w:r>
      <w:r w:rsidRPr="00451356">
        <w:rPr>
          <w:sz w:val="20"/>
        </w:rPr>
        <w:t>these concerns are no longer relevant.</w:t>
      </w:r>
      <w:r w:rsidR="00182F21">
        <w:rPr>
          <w:sz w:val="20"/>
        </w:rPr>
        <w:t xml:space="preserve"> </w:t>
      </w: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281F67" w:rsidRPr="00257EF2" w:rsidRDefault="00281F67">
      <w:pPr>
        <w:pStyle w:val="BodyText2"/>
        <w:rPr>
          <w:sz w:val="20"/>
        </w:rPr>
      </w:pPr>
    </w:p>
    <w:p w:rsidR="00281F67" w:rsidRDefault="00281F67">
      <w:pPr>
        <w:rPr>
          <w:sz w:val="24"/>
        </w:rPr>
      </w:pPr>
    </w:p>
    <w:p w:rsidR="00412A3B" w:rsidRDefault="00281F67" w:rsidP="00F17DA1">
      <w:pPr>
        <w:pStyle w:val="BodyText2"/>
        <w:rPr>
          <w:sz w:val="20"/>
        </w:rPr>
      </w:pPr>
      <w:r>
        <w:rPr>
          <w:sz w:val="20"/>
        </w:rPr>
        <w:t xml:space="preserve">F.   Any other descriptive items: </w:t>
      </w:r>
    </w:p>
    <w:p w:rsidR="008F6949" w:rsidRPr="00367B16" w:rsidRDefault="008F6949" w:rsidP="008F6949">
      <w:pPr>
        <w:pStyle w:val="BodyText2"/>
        <w:rPr>
          <w:sz w:val="20"/>
        </w:rPr>
      </w:pPr>
      <w:r>
        <w:rPr>
          <w:sz w:val="20"/>
        </w:rPr>
        <w:t>FCC 18-95</w:t>
      </w:r>
      <w:r w:rsidRPr="00173D86">
        <w:rPr>
          <w:sz w:val="20"/>
        </w:rPr>
        <w:t xml:space="preserve"> </w:t>
      </w:r>
      <w:r w:rsidR="00502ADA">
        <w:rPr>
          <w:sz w:val="20"/>
        </w:rPr>
        <w:t xml:space="preserve">states </w:t>
      </w:r>
      <w:r>
        <w:rPr>
          <w:sz w:val="20"/>
        </w:rPr>
        <w:t>“</w:t>
      </w:r>
      <w:r w:rsidRPr="00173D86">
        <w:rPr>
          <w:sz w:val="20"/>
        </w:rPr>
        <w:t>We also ease the</w:t>
      </w:r>
      <w:r>
        <w:rPr>
          <w:sz w:val="20"/>
        </w:rPr>
        <w:t xml:space="preserve"> </w:t>
      </w:r>
      <w:r w:rsidRPr="00173D86">
        <w:rPr>
          <w:sz w:val="20"/>
        </w:rPr>
        <w:t>requirement that the second-to-last carrier handling a call request query the local number portability</w:t>
      </w:r>
      <w:r>
        <w:rPr>
          <w:sz w:val="20"/>
        </w:rPr>
        <w:t xml:space="preserve"> </w:t>
      </w:r>
      <w:r w:rsidRPr="00173D86">
        <w:rPr>
          <w:sz w:val="20"/>
        </w:rPr>
        <w:t>database, allowing any carriers earlier in the chain to make the query if they so choose. This greater</w:t>
      </w:r>
      <w:r>
        <w:rPr>
          <w:sz w:val="20"/>
        </w:rPr>
        <w:t xml:space="preserve"> </w:t>
      </w:r>
      <w:r w:rsidRPr="00173D86">
        <w:rPr>
          <w:sz w:val="20"/>
        </w:rPr>
        <w:t xml:space="preserve">flexibility allows carriers in the call path to determine who is best placed to bear the </w:t>
      </w:r>
      <w:r w:rsidRPr="00173D86">
        <w:rPr>
          <w:sz w:val="20"/>
        </w:rPr>
        <w:lastRenderedPageBreak/>
        <w:t>costs of performing</w:t>
      </w:r>
      <w:r>
        <w:rPr>
          <w:sz w:val="20"/>
        </w:rPr>
        <w:t xml:space="preserve"> t</w:t>
      </w:r>
      <w:r w:rsidRPr="00173D86">
        <w:rPr>
          <w:sz w:val="20"/>
        </w:rPr>
        <w:t>he query, and also ensures that any carrier—including originating carriers—can perform the query, a</w:t>
      </w:r>
      <w:r>
        <w:rPr>
          <w:sz w:val="20"/>
        </w:rPr>
        <w:t xml:space="preserve"> </w:t>
      </w:r>
      <w:r w:rsidRPr="00173D86">
        <w:rPr>
          <w:sz w:val="20"/>
        </w:rPr>
        <w:t>necessary step in certain NNP solutions.</w:t>
      </w:r>
      <w:r>
        <w:rPr>
          <w:sz w:val="20"/>
        </w:rPr>
        <w:t>”</w:t>
      </w: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367B16" w:rsidRDefault="00367B16" w:rsidP="00367B16">
      <w:pPr>
        <w:pStyle w:val="BodyText2"/>
        <w:rPr>
          <w:sz w:val="20"/>
        </w:rPr>
      </w:pPr>
      <w:r>
        <w:rPr>
          <w:sz w:val="20"/>
        </w:rPr>
        <w:t>LNP Best Practice</w:t>
      </w:r>
      <w:r w:rsidR="008F6949">
        <w:rPr>
          <w:sz w:val="20"/>
        </w:rPr>
        <w:t xml:space="preserve"> 0004 – N-1 Carrier Methodology</w:t>
      </w:r>
      <w:r w:rsidR="00502ADA">
        <w:rPr>
          <w:sz w:val="20"/>
        </w:rPr>
        <w:t xml:space="preserve"> </w:t>
      </w:r>
      <w:proofErr w:type="gramStart"/>
      <w:r>
        <w:rPr>
          <w:sz w:val="20"/>
        </w:rPr>
        <w:t>should be updated</w:t>
      </w:r>
      <w:proofErr w:type="gramEnd"/>
      <w:r>
        <w:rPr>
          <w:sz w:val="20"/>
        </w:rPr>
        <w:t xml:space="preserve"> to match current FCC requirements</w:t>
      </w:r>
      <w:r w:rsidR="008F6949">
        <w:rPr>
          <w:sz w:val="20"/>
        </w:rPr>
        <w:t xml:space="preserve"> </w:t>
      </w:r>
      <w:r>
        <w:rPr>
          <w:sz w:val="20"/>
        </w:rPr>
        <w:t xml:space="preserve">for </w:t>
      </w:r>
      <w:r w:rsidR="008F6949">
        <w:rPr>
          <w:sz w:val="20"/>
        </w:rPr>
        <w:t>number portability database que</w:t>
      </w:r>
      <w:r>
        <w:rPr>
          <w:sz w:val="20"/>
        </w:rPr>
        <w:t>ries.</w:t>
      </w:r>
    </w:p>
    <w:p w:rsidR="001B0DBB" w:rsidRPr="00F77AA6" w:rsidRDefault="001B0DBB">
      <w:pPr>
        <w:pStyle w:val="BodyText3"/>
      </w:pPr>
    </w:p>
    <w:p w:rsidR="00281F67" w:rsidRDefault="00281F67">
      <w:pPr>
        <w:rPr>
          <w:sz w:val="24"/>
        </w:rPr>
      </w:pPr>
    </w:p>
    <w:p w:rsidR="00913A91" w:rsidRPr="004F38B9" w:rsidRDefault="00913A91" w:rsidP="00913A91">
      <w:pPr>
        <w:numPr>
          <w:ilvl w:val="0"/>
          <w:numId w:val="2"/>
        </w:numPr>
        <w:rPr>
          <w:b/>
          <w:sz w:val="24"/>
        </w:rPr>
      </w:pPr>
      <w:r w:rsidRPr="004F38B9">
        <w:rPr>
          <w:b/>
          <w:sz w:val="24"/>
        </w:rPr>
        <w:t>Final Resolution:</w:t>
      </w:r>
    </w:p>
    <w:p w:rsidR="00913A91" w:rsidRPr="00913A91" w:rsidRDefault="00913A91" w:rsidP="00913A91">
      <w:pPr>
        <w:ind w:left="360"/>
        <w:rPr>
          <w:color w:val="0070C0"/>
          <w:sz w:val="24"/>
        </w:rPr>
      </w:pPr>
    </w:p>
    <w:p w:rsidR="00281F67" w:rsidRDefault="009704E6"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This PIM resulted in updates</w:t>
      </w:r>
      <w:r w:rsidR="00DB63D8">
        <w:rPr>
          <w:sz w:val="24"/>
        </w:rPr>
        <w:t>,</w:t>
      </w:r>
      <w:r>
        <w:rPr>
          <w:sz w:val="24"/>
        </w:rPr>
        <w:t xml:space="preserve"> </w:t>
      </w:r>
      <w:r w:rsidR="00DB63D8">
        <w:rPr>
          <w:sz w:val="24"/>
        </w:rPr>
        <w:t xml:space="preserve">based on FCC 18-95, </w:t>
      </w:r>
      <w:r>
        <w:rPr>
          <w:sz w:val="24"/>
        </w:rPr>
        <w:t>to BP 004 – N-1 Carrier M</w:t>
      </w:r>
      <w:r w:rsidR="008A2E14">
        <w:rPr>
          <w:sz w:val="24"/>
        </w:rPr>
        <w:t>ethodology C</w:t>
      </w:r>
      <w:r>
        <w:rPr>
          <w:sz w:val="24"/>
        </w:rPr>
        <w:t>larification.</w:t>
      </w:r>
    </w:p>
    <w:p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rsidR="00913A91" w:rsidRDefault="00913A91">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9704E6">
        <w:rPr>
          <w:sz w:val="24"/>
        </w:rPr>
        <w:t xml:space="preserve"> 8/11/2020</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37DB6">
        <w:rPr>
          <w:sz w:val="24"/>
        </w:rPr>
        <w:t>PIM</w:t>
      </w:r>
      <w:r w:rsidR="00913A91">
        <w:rPr>
          <w:sz w:val="24"/>
        </w:rPr>
        <w:t xml:space="preserve"> #</w:t>
      </w:r>
      <w:r w:rsidR="00464A69">
        <w:rPr>
          <w:sz w:val="24"/>
        </w:rPr>
        <w:t>131</w:t>
      </w:r>
      <w:r w:rsidR="009704E6">
        <w:rPr>
          <w:sz w:val="24"/>
        </w:rPr>
        <w:t xml:space="preserve"> v2</w:t>
      </w:r>
      <w:r w:rsidR="00913A91">
        <w:rPr>
          <w:sz w:val="24"/>
        </w:rPr>
        <w:tab/>
      </w:r>
      <w:r w:rsidR="00913A91">
        <w:rPr>
          <w:sz w:val="24"/>
        </w:rPr>
        <w:tab/>
      </w:r>
      <w:r w:rsidR="00913A91">
        <w:rPr>
          <w:sz w:val="24"/>
        </w:rPr>
        <w:tab/>
      </w:r>
      <w:r w:rsidR="00913A91" w:rsidRPr="009A6F2A">
        <w:rPr>
          <w:sz w:val="24"/>
        </w:rPr>
        <w:t>Related Documents:</w:t>
      </w:r>
      <w:r w:rsidR="009E44BF">
        <w:rPr>
          <w:sz w:val="24"/>
        </w:rPr>
        <w:t xml:space="preserve"> BP 004</w:t>
      </w:r>
      <w:r w:rsidR="00173D86">
        <w:rPr>
          <w:sz w:val="24"/>
        </w:rPr>
        <w:t>, FCC 18-95</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23" w:rsidRDefault="00754B23">
      <w:r>
        <w:separator/>
      </w:r>
    </w:p>
  </w:endnote>
  <w:endnote w:type="continuationSeparator" w:id="0">
    <w:p w:rsidR="00754B23" w:rsidRDefault="0075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B6">
      <w:rPr>
        <w:rStyle w:val="PageNumber"/>
        <w:noProof/>
      </w:rPr>
      <w:t>2</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23" w:rsidRDefault="00754B23">
      <w:r>
        <w:separator/>
      </w:r>
    </w:p>
  </w:footnote>
  <w:footnote w:type="continuationSeparator" w:id="0">
    <w:p w:rsidR="00754B23" w:rsidRDefault="0075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01A0"/>
    <w:rsid w:val="000628C3"/>
    <w:rsid w:val="00066FB5"/>
    <w:rsid w:val="000870ED"/>
    <w:rsid w:val="0009434D"/>
    <w:rsid w:val="000C16CD"/>
    <w:rsid w:val="000C58C0"/>
    <w:rsid w:val="000E596A"/>
    <w:rsid w:val="000F4442"/>
    <w:rsid w:val="00131143"/>
    <w:rsid w:val="0013331E"/>
    <w:rsid w:val="00145BB3"/>
    <w:rsid w:val="00151109"/>
    <w:rsid w:val="00162160"/>
    <w:rsid w:val="00173D86"/>
    <w:rsid w:val="0018222F"/>
    <w:rsid w:val="00182F21"/>
    <w:rsid w:val="00195B4E"/>
    <w:rsid w:val="001A1A5E"/>
    <w:rsid w:val="001A3888"/>
    <w:rsid w:val="001A68D0"/>
    <w:rsid w:val="001A7515"/>
    <w:rsid w:val="001B0DBB"/>
    <w:rsid w:val="001B569F"/>
    <w:rsid w:val="001C082F"/>
    <w:rsid w:val="001C2986"/>
    <w:rsid w:val="00216184"/>
    <w:rsid w:val="002171A6"/>
    <w:rsid w:val="0022720C"/>
    <w:rsid w:val="002318F1"/>
    <w:rsid w:val="0025574E"/>
    <w:rsid w:val="00257EF2"/>
    <w:rsid w:val="00280E29"/>
    <w:rsid w:val="00281F67"/>
    <w:rsid w:val="00283DB2"/>
    <w:rsid w:val="002A4C42"/>
    <w:rsid w:val="002A7914"/>
    <w:rsid w:val="002B2AE1"/>
    <w:rsid w:val="002F3E9A"/>
    <w:rsid w:val="00306219"/>
    <w:rsid w:val="00307D3F"/>
    <w:rsid w:val="0031054B"/>
    <w:rsid w:val="0031113B"/>
    <w:rsid w:val="003161BA"/>
    <w:rsid w:val="00337B71"/>
    <w:rsid w:val="00352941"/>
    <w:rsid w:val="003659F2"/>
    <w:rsid w:val="00367B16"/>
    <w:rsid w:val="00370673"/>
    <w:rsid w:val="0037170E"/>
    <w:rsid w:val="0037736B"/>
    <w:rsid w:val="003A0FDF"/>
    <w:rsid w:val="003C1C0E"/>
    <w:rsid w:val="003D5498"/>
    <w:rsid w:val="003E2319"/>
    <w:rsid w:val="003F7544"/>
    <w:rsid w:val="004116B9"/>
    <w:rsid w:val="00412A3B"/>
    <w:rsid w:val="00415B72"/>
    <w:rsid w:val="00417A65"/>
    <w:rsid w:val="00437CC9"/>
    <w:rsid w:val="00437DB6"/>
    <w:rsid w:val="00446F03"/>
    <w:rsid w:val="00451356"/>
    <w:rsid w:val="004561C3"/>
    <w:rsid w:val="004562A8"/>
    <w:rsid w:val="004608A1"/>
    <w:rsid w:val="00464A69"/>
    <w:rsid w:val="00474C1E"/>
    <w:rsid w:val="00476277"/>
    <w:rsid w:val="00476CB8"/>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4F7088"/>
    <w:rsid w:val="00502ADA"/>
    <w:rsid w:val="0050353A"/>
    <w:rsid w:val="005209A1"/>
    <w:rsid w:val="0053363B"/>
    <w:rsid w:val="00537F06"/>
    <w:rsid w:val="005511C4"/>
    <w:rsid w:val="00551757"/>
    <w:rsid w:val="00565B84"/>
    <w:rsid w:val="00582722"/>
    <w:rsid w:val="005A61A9"/>
    <w:rsid w:val="005B655C"/>
    <w:rsid w:val="005E0106"/>
    <w:rsid w:val="00600226"/>
    <w:rsid w:val="00600CDD"/>
    <w:rsid w:val="006138FF"/>
    <w:rsid w:val="00640982"/>
    <w:rsid w:val="00641B71"/>
    <w:rsid w:val="00675A29"/>
    <w:rsid w:val="00682CB4"/>
    <w:rsid w:val="00683644"/>
    <w:rsid w:val="006B52D5"/>
    <w:rsid w:val="006B6D23"/>
    <w:rsid w:val="006D4995"/>
    <w:rsid w:val="006D6A82"/>
    <w:rsid w:val="006E54DE"/>
    <w:rsid w:val="00711774"/>
    <w:rsid w:val="007150F7"/>
    <w:rsid w:val="007203B0"/>
    <w:rsid w:val="00721650"/>
    <w:rsid w:val="00724C3A"/>
    <w:rsid w:val="00725E0A"/>
    <w:rsid w:val="00746ED5"/>
    <w:rsid w:val="00754B23"/>
    <w:rsid w:val="00755636"/>
    <w:rsid w:val="007559E6"/>
    <w:rsid w:val="00761A89"/>
    <w:rsid w:val="00763DCC"/>
    <w:rsid w:val="00765938"/>
    <w:rsid w:val="0077467C"/>
    <w:rsid w:val="0078713F"/>
    <w:rsid w:val="00792D70"/>
    <w:rsid w:val="00794DB6"/>
    <w:rsid w:val="00796AA5"/>
    <w:rsid w:val="007A6F81"/>
    <w:rsid w:val="007B0BA1"/>
    <w:rsid w:val="007B5132"/>
    <w:rsid w:val="007C5589"/>
    <w:rsid w:val="007D0CD7"/>
    <w:rsid w:val="007E7DBC"/>
    <w:rsid w:val="007F5624"/>
    <w:rsid w:val="00800500"/>
    <w:rsid w:val="00811768"/>
    <w:rsid w:val="008139A6"/>
    <w:rsid w:val="00813A94"/>
    <w:rsid w:val="008307C3"/>
    <w:rsid w:val="00834C1D"/>
    <w:rsid w:val="0083598C"/>
    <w:rsid w:val="00843B80"/>
    <w:rsid w:val="00866EFC"/>
    <w:rsid w:val="0087167B"/>
    <w:rsid w:val="008859E2"/>
    <w:rsid w:val="00886D22"/>
    <w:rsid w:val="00892EE7"/>
    <w:rsid w:val="008A2443"/>
    <w:rsid w:val="008A2E14"/>
    <w:rsid w:val="008B20C3"/>
    <w:rsid w:val="008B3CA9"/>
    <w:rsid w:val="008C2313"/>
    <w:rsid w:val="008C23E1"/>
    <w:rsid w:val="008C5A62"/>
    <w:rsid w:val="008E6752"/>
    <w:rsid w:val="008F6949"/>
    <w:rsid w:val="008F6CA8"/>
    <w:rsid w:val="00905BA4"/>
    <w:rsid w:val="00913A91"/>
    <w:rsid w:val="009225BB"/>
    <w:rsid w:val="00922824"/>
    <w:rsid w:val="00924312"/>
    <w:rsid w:val="00935380"/>
    <w:rsid w:val="00937D3A"/>
    <w:rsid w:val="009704E6"/>
    <w:rsid w:val="0097484E"/>
    <w:rsid w:val="009821DE"/>
    <w:rsid w:val="0099315E"/>
    <w:rsid w:val="009A3FDA"/>
    <w:rsid w:val="009A6576"/>
    <w:rsid w:val="009A6F2A"/>
    <w:rsid w:val="009B3B8A"/>
    <w:rsid w:val="009C3970"/>
    <w:rsid w:val="009E0D3D"/>
    <w:rsid w:val="009E44BF"/>
    <w:rsid w:val="009F1E2D"/>
    <w:rsid w:val="00A0221C"/>
    <w:rsid w:val="00A04B52"/>
    <w:rsid w:val="00A06793"/>
    <w:rsid w:val="00A1613B"/>
    <w:rsid w:val="00A31915"/>
    <w:rsid w:val="00A367DE"/>
    <w:rsid w:val="00A654CC"/>
    <w:rsid w:val="00A80521"/>
    <w:rsid w:val="00A92628"/>
    <w:rsid w:val="00A92A53"/>
    <w:rsid w:val="00AA4253"/>
    <w:rsid w:val="00AB4F4D"/>
    <w:rsid w:val="00AB7D35"/>
    <w:rsid w:val="00AD0742"/>
    <w:rsid w:val="00AD15D0"/>
    <w:rsid w:val="00AD34DF"/>
    <w:rsid w:val="00AD6BAB"/>
    <w:rsid w:val="00AE146F"/>
    <w:rsid w:val="00AF3494"/>
    <w:rsid w:val="00AF4878"/>
    <w:rsid w:val="00AF5566"/>
    <w:rsid w:val="00B03397"/>
    <w:rsid w:val="00B104E0"/>
    <w:rsid w:val="00B144EF"/>
    <w:rsid w:val="00B1558D"/>
    <w:rsid w:val="00B159A7"/>
    <w:rsid w:val="00B16D3B"/>
    <w:rsid w:val="00B26708"/>
    <w:rsid w:val="00B419E0"/>
    <w:rsid w:val="00B4471A"/>
    <w:rsid w:val="00B560FA"/>
    <w:rsid w:val="00B616D9"/>
    <w:rsid w:val="00B61C91"/>
    <w:rsid w:val="00B7537D"/>
    <w:rsid w:val="00B75A12"/>
    <w:rsid w:val="00BD0B37"/>
    <w:rsid w:val="00BD4651"/>
    <w:rsid w:val="00BD527B"/>
    <w:rsid w:val="00C12BFE"/>
    <w:rsid w:val="00C141A7"/>
    <w:rsid w:val="00C20F56"/>
    <w:rsid w:val="00C41C85"/>
    <w:rsid w:val="00C42E70"/>
    <w:rsid w:val="00C43174"/>
    <w:rsid w:val="00C45AD5"/>
    <w:rsid w:val="00C7240A"/>
    <w:rsid w:val="00C75DD2"/>
    <w:rsid w:val="00C84E1B"/>
    <w:rsid w:val="00C94648"/>
    <w:rsid w:val="00CA560F"/>
    <w:rsid w:val="00CB0F5C"/>
    <w:rsid w:val="00CB397B"/>
    <w:rsid w:val="00CC3A53"/>
    <w:rsid w:val="00CD0697"/>
    <w:rsid w:val="00CD46D6"/>
    <w:rsid w:val="00CD789A"/>
    <w:rsid w:val="00CE4C62"/>
    <w:rsid w:val="00D17291"/>
    <w:rsid w:val="00D2003D"/>
    <w:rsid w:val="00D26870"/>
    <w:rsid w:val="00D32580"/>
    <w:rsid w:val="00D34853"/>
    <w:rsid w:val="00D41312"/>
    <w:rsid w:val="00D41C7B"/>
    <w:rsid w:val="00D4478F"/>
    <w:rsid w:val="00D477A9"/>
    <w:rsid w:val="00D5102B"/>
    <w:rsid w:val="00D5179D"/>
    <w:rsid w:val="00D754B7"/>
    <w:rsid w:val="00D84164"/>
    <w:rsid w:val="00D8546B"/>
    <w:rsid w:val="00D91678"/>
    <w:rsid w:val="00DA055F"/>
    <w:rsid w:val="00DB63D8"/>
    <w:rsid w:val="00DC4534"/>
    <w:rsid w:val="00DC732E"/>
    <w:rsid w:val="00DD2265"/>
    <w:rsid w:val="00DD451A"/>
    <w:rsid w:val="00DE6660"/>
    <w:rsid w:val="00DE6A7F"/>
    <w:rsid w:val="00DF6452"/>
    <w:rsid w:val="00DF7A12"/>
    <w:rsid w:val="00E565EA"/>
    <w:rsid w:val="00E80D4E"/>
    <w:rsid w:val="00E91435"/>
    <w:rsid w:val="00EA1D65"/>
    <w:rsid w:val="00EC3826"/>
    <w:rsid w:val="00ED1CD2"/>
    <w:rsid w:val="00ED3DEE"/>
    <w:rsid w:val="00ED6303"/>
    <w:rsid w:val="00EE5AF0"/>
    <w:rsid w:val="00F02BA7"/>
    <w:rsid w:val="00F17DA1"/>
    <w:rsid w:val="00F17FA1"/>
    <w:rsid w:val="00F22C16"/>
    <w:rsid w:val="00F455B7"/>
    <w:rsid w:val="00F5197E"/>
    <w:rsid w:val="00F60481"/>
    <w:rsid w:val="00F62328"/>
    <w:rsid w:val="00F65283"/>
    <w:rsid w:val="00F77AA6"/>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2A2D31"/>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iconectiv</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7</cp:revision>
  <cp:lastPrinted>1999-05-19T19:58:00Z</cp:lastPrinted>
  <dcterms:created xsi:type="dcterms:W3CDTF">2020-07-21T14:24:00Z</dcterms:created>
  <dcterms:modified xsi:type="dcterms:W3CDTF">2020-08-13T17:41:00Z</dcterms:modified>
</cp:coreProperties>
</file>