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BBC6" w14:textId="34CFE216" w:rsidR="00D371E1" w:rsidRPr="00B37835" w:rsidRDefault="003E3ACB" w:rsidP="00B37835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0037"/>
      <w:bookmarkEnd w:id="0"/>
      <w:r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Service Outage Prevention and Mitigation </w:t>
      </w:r>
      <w:r w:rsidR="00D371E1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</w:t>
      </w:r>
    </w:p>
    <w:p w14:paraId="5E511488" w14:textId="262124A2" w:rsidR="008475D1" w:rsidRPr="00397C25" w:rsidRDefault="008475D1" w:rsidP="008475D1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bookmarkStart w:id="1" w:name="_Hlk101531908"/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Submitted By: </w:t>
      </w:r>
      <w:r w:rsidR="00396F19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SOS (Service Outage Support</w:t>
      </w:r>
      <w:r w:rsidR="00280676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) </w:t>
      </w:r>
      <w:r w:rsidR="00396F19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sub team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 </w:t>
      </w:r>
    </w:p>
    <w:p w14:paraId="678D82FD" w14:textId="6D5260DF" w:rsidR="008475D1" w:rsidRDefault="008475D1" w:rsidP="008475D1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Accepted</w:t>
      </w: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: </w:t>
      </w:r>
      <w:r w:rsidR="005253BD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09/13/2022</w:t>
      </w:r>
    </w:p>
    <w:p w14:paraId="612E99F8" w14:textId="482BDBFA" w:rsidR="008475D1" w:rsidRPr="00397C25" w:rsidRDefault="008475D1" w:rsidP="008475D1">
      <w:pPr>
        <w:spacing w:after="19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Version:</w:t>
      </w:r>
      <w:r w:rsidR="00E54BB7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 1</w:t>
      </w:r>
    </w:p>
    <w:p w14:paraId="53D59A95" w14:textId="55A2F1CA" w:rsidR="008475D1" w:rsidRDefault="008475D1" w:rsidP="008475D1">
      <w:pPr>
        <w:spacing w:after="190" w:line="270" w:lineRule="atLeast"/>
        <w:outlineLvl w:val="3"/>
        <w:rPr>
          <w:rFonts w:ascii="avenir" w:eastAsia="Times New Roman" w:hAnsi="avenir" w:cs="Times New Roman"/>
          <w:color w:val="333333"/>
          <w:sz w:val="20"/>
          <w:szCs w:val="20"/>
        </w:rPr>
      </w:pPr>
      <w:bookmarkStart w:id="2" w:name="eztoc60040_2_23_5_37"/>
      <w:bookmarkEnd w:id="2"/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Version History</w:t>
      </w:r>
      <w:r w:rsidRPr="00143FD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</w:p>
    <w:p w14:paraId="449817A7" w14:textId="3C7D071B" w:rsidR="008475D1" w:rsidRPr="00143FD6" w:rsidRDefault="008475D1" w:rsidP="008475D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This </w:t>
      </w:r>
      <w:r w:rsidR="00280676">
        <w:rPr>
          <w:rFonts w:ascii="avenir" w:eastAsia="Times New Roman" w:hAnsi="avenir" w:cs="Times New Roman"/>
          <w:color w:val="333333"/>
          <w:sz w:val="20"/>
          <w:szCs w:val="20"/>
        </w:rPr>
        <w:t>BP (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Best Practice</w:t>
      </w:r>
      <w:r w:rsidR="00280676">
        <w:rPr>
          <w:rFonts w:ascii="avenir" w:eastAsia="Times New Roman" w:hAnsi="avenir" w:cs="Times New Roman"/>
          <w:color w:val="333333"/>
          <w:sz w:val="20"/>
          <w:szCs w:val="20"/>
        </w:rPr>
        <w:t>)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was created by the </w:t>
      </w:r>
      <w:bookmarkStart w:id="3" w:name="_Hlk97556765"/>
      <w:r w:rsidR="00280676">
        <w:rPr>
          <w:rFonts w:ascii="avenir" w:eastAsia="Times New Roman" w:hAnsi="avenir" w:cs="Times New Roman"/>
          <w:color w:val="333333"/>
          <w:sz w:val="20"/>
          <w:szCs w:val="20"/>
        </w:rPr>
        <w:t>SOS (</w:t>
      </w:r>
      <w:r w:rsidR="0086011C">
        <w:rPr>
          <w:rFonts w:ascii="avenir" w:eastAsia="Times New Roman" w:hAnsi="avenir" w:cs="Times New Roman"/>
          <w:color w:val="333333"/>
          <w:sz w:val="20"/>
          <w:szCs w:val="20"/>
        </w:rPr>
        <w:t>Service Outage Support</w:t>
      </w:r>
      <w:r w:rsidR="00280676">
        <w:rPr>
          <w:rFonts w:ascii="avenir" w:eastAsia="Times New Roman" w:hAnsi="avenir" w:cs="Times New Roman"/>
          <w:color w:val="333333"/>
          <w:sz w:val="20"/>
          <w:szCs w:val="20"/>
        </w:rPr>
        <w:t xml:space="preserve">) </w:t>
      </w:r>
      <w:r w:rsidR="0086011C">
        <w:rPr>
          <w:rFonts w:ascii="avenir" w:eastAsia="Times New Roman" w:hAnsi="avenir" w:cs="Times New Roman"/>
          <w:color w:val="333333"/>
          <w:sz w:val="20"/>
          <w:szCs w:val="20"/>
        </w:rPr>
        <w:t xml:space="preserve">sub team of the </w:t>
      </w:r>
      <w:r w:rsidR="00280676">
        <w:rPr>
          <w:rFonts w:ascii="avenir" w:eastAsia="Times New Roman" w:hAnsi="avenir" w:cs="Times New Roman"/>
          <w:color w:val="333333"/>
          <w:sz w:val="20"/>
          <w:szCs w:val="20"/>
        </w:rPr>
        <w:t>NPIF (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Number Portability Industry Forum</w:t>
      </w:r>
      <w:r w:rsidR="00E54BB7">
        <w:rPr>
          <w:rFonts w:ascii="avenir" w:eastAsia="Times New Roman" w:hAnsi="avenir" w:cs="Times New Roman"/>
          <w:color w:val="333333"/>
          <w:sz w:val="20"/>
          <w:szCs w:val="20"/>
        </w:rPr>
        <w:t>)</w:t>
      </w:r>
      <w:r w:rsidR="0086011C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r w:rsidR="00280676">
        <w:rPr>
          <w:rFonts w:ascii="avenir" w:eastAsia="Times New Roman" w:hAnsi="avenir" w:cs="Times New Roman"/>
          <w:color w:val="333333"/>
          <w:sz w:val="20"/>
          <w:szCs w:val="20"/>
        </w:rPr>
        <w:t>i</w:t>
      </w:r>
      <w:r w:rsidR="0086011C">
        <w:rPr>
          <w:rFonts w:ascii="avenir" w:eastAsia="Times New Roman" w:hAnsi="avenir" w:cs="Times New Roman"/>
          <w:color w:val="333333"/>
          <w:sz w:val="20"/>
          <w:szCs w:val="20"/>
        </w:rPr>
        <w:t xml:space="preserve">n response to PIM 142 - DDoS </w:t>
      </w:r>
      <w:r w:rsidR="00280676">
        <w:rPr>
          <w:rFonts w:ascii="avenir" w:eastAsia="Times New Roman" w:hAnsi="avenir" w:cs="Times New Roman"/>
          <w:color w:val="333333"/>
          <w:sz w:val="20"/>
          <w:szCs w:val="20"/>
        </w:rPr>
        <w:t>(Dedicated Denial of Service) a</w:t>
      </w:r>
      <w:r w:rsidR="0086011C">
        <w:rPr>
          <w:rFonts w:ascii="avenir" w:eastAsia="Times New Roman" w:hAnsi="avenir" w:cs="Times New Roman"/>
          <w:color w:val="333333"/>
          <w:sz w:val="20"/>
          <w:szCs w:val="20"/>
        </w:rPr>
        <w:t xml:space="preserve">ttacks. </w:t>
      </w:r>
      <w:bookmarkEnd w:id="3"/>
    </w:p>
    <w:p w14:paraId="646872A7" w14:textId="16DED522" w:rsidR="00B37835" w:rsidRDefault="00B37835" w:rsidP="00B37835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4" w:name="eztoc60040_2_38_5_69"/>
      <w:bookmarkEnd w:id="1"/>
      <w:bookmarkEnd w:id="4"/>
      <w:r w:rsidRPr="00B3783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</w:t>
      </w:r>
    </w:p>
    <w:p w14:paraId="4F1C535E" w14:textId="0DE0910A" w:rsidR="0014239F" w:rsidRDefault="0014239F" w:rsidP="00B37835">
      <w:pPr>
        <w:spacing w:before="280" w:after="180" w:line="330" w:lineRule="atLeast"/>
        <w:outlineLvl w:val="3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A60B2">
        <w:rPr>
          <w:rFonts w:ascii="avenir" w:eastAsia="Times New Roman" w:hAnsi="avenir" w:cs="Times New Roman"/>
          <w:color w:val="333333"/>
          <w:sz w:val="20"/>
          <w:szCs w:val="20"/>
        </w:rPr>
        <w:t>This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r w:rsidR="00280676">
        <w:rPr>
          <w:rFonts w:ascii="avenir" w:eastAsia="Times New Roman" w:hAnsi="avenir" w:cs="Times New Roman"/>
          <w:color w:val="333333"/>
          <w:sz w:val="20"/>
          <w:szCs w:val="20"/>
        </w:rPr>
        <w:t>BP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was created to address concerns about the use of number portability to reroute telephone numbers </w:t>
      </w:r>
      <w:r w:rsidR="00EA2B16">
        <w:rPr>
          <w:rFonts w:ascii="avenir" w:eastAsia="Times New Roman" w:hAnsi="avenir" w:cs="Times New Roman"/>
          <w:color w:val="333333"/>
          <w:sz w:val="20"/>
          <w:szCs w:val="20"/>
        </w:rPr>
        <w:t>i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n situations where a Service Provider is experiencing call completion issues related to network </w:t>
      </w:r>
      <w:r w:rsidR="000A60B2">
        <w:rPr>
          <w:rFonts w:ascii="avenir" w:eastAsia="Times New Roman" w:hAnsi="avenir" w:cs="Times New Roman"/>
          <w:color w:val="333333"/>
          <w:sz w:val="20"/>
          <w:szCs w:val="20"/>
        </w:rPr>
        <w:t>attacks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such as DDoS</w:t>
      </w:r>
      <w:r w:rsidR="00280676">
        <w:rPr>
          <w:rFonts w:ascii="avenir" w:eastAsia="Times New Roman" w:hAnsi="avenir" w:cs="Times New Roman"/>
          <w:color w:val="333333"/>
          <w:sz w:val="20"/>
          <w:szCs w:val="20"/>
        </w:rPr>
        <w:t>.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</w:p>
    <w:p w14:paraId="5565A3AF" w14:textId="33A245DA" w:rsidR="002E4719" w:rsidRPr="000A60B2" w:rsidRDefault="002E4719" w:rsidP="00B37835">
      <w:pPr>
        <w:spacing w:before="280" w:after="180" w:line="330" w:lineRule="atLeast"/>
        <w:outlineLvl w:val="3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PIM 142 - DDoS Attacks was created and accepted by the NPIF to discuss this </w:t>
      </w:r>
      <w:r w:rsidR="002A79E4">
        <w:rPr>
          <w:rFonts w:ascii="avenir" w:eastAsia="Times New Roman" w:hAnsi="avenir" w:cs="Times New Roman"/>
          <w:color w:val="333333"/>
          <w:sz w:val="20"/>
          <w:szCs w:val="20"/>
        </w:rPr>
        <w:t>i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ssue.  After discussion at the 02/07/2022 NPIF a new sub-team, SOS was created to discuss/address the issue. After several meetings, </w:t>
      </w:r>
      <w:r w:rsidR="000A60B2">
        <w:rPr>
          <w:rFonts w:ascii="avenir" w:eastAsia="Times New Roman" w:hAnsi="avenir" w:cs="Times New Roman"/>
          <w:color w:val="333333"/>
          <w:sz w:val="20"/>
          <w:szCs w:val="20"/>
        </w:rPr>
        <w:t xml:space="preserve">a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consensus was reached by the SOS to refer the </w:t>
      </w:r>
      <w:r w:rsidR="00EA2B16">
        <w:rPr>
          <w:rFonts w:ascii="avenir" w:eastAsia="Times New Roman" w:hAnsi="avenir" w:cs="Times New Roman"/>
          <w:color w:val="333333"/>
          <w:sz w:val="20"/>
          <w:szCs w:val="20"/>
        </w:rPr>
        <w:t>i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ssue to ATIS NGIIF (Next Generation </w:t>
      </w:r>
      <w:r w:rsidR="00B6044D">
        <w:rPr>
          <w:rFonts w:ascii="avenir" w:eastAsia="Times New Roman" w:hAnsi="avenir" w:cs="Times New Roman"/>
          <w:color w:val="333333"/>
          <w:sz w:val="20"/>
          <w:szCs w:val="20"/>
        </w:rPr>
        <w:t xml:space="preserve">Interconnection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Interoperability</w:t>
      </w:r>
      <w:r w:rsidR="00B6044D">
        <w:rPr>
          <w:rFonts w:ascii="avenir" w:eastAsia="Times New Roman" w:hAnsi="avenir" w:cs="Times New Roman"/>
          <w:color w:val="333333"/>
          <w:sz w:val="20"/>
          <w:szCs w:val="20"/>
        </w:rPr>
        <w:t xml:space="preserve"> Forum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)</w:t>
      </w:r>
      <w:r w:rsidR="00EA2B16">
        <w:rPr>
          <w:rFonts w:ascii="avenir" w:eastAsia="Times New Roman" w:hAnsi="avenir" w:cs="Times New Roman"/>
          <w:color w:val="333333"/>
          <w:sz w:val="20"/>
          <w:szCs w:val="20"/>
        </w:rPr>
        <w:t xml:space="preserve"> to seek assistance in determining if a solution other than utilizing number portability existed or could be created. </w:t>
      </w:r>
      <w:r w:rsidR="008B5D3E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r w:rsidR="000576ED">
        <w:rPr>
          <w:rFonts w:ascii="avenir" w:eastAsia="Times New Roman" w:hAnsi="avenir" w:cs="Times New Roman"/>
          <w:color w:val="333333"/>
          <w:sz w:val="20"/>
          <w:szCs w:val="20"/>
        </w:rPr>
        <w:t xml:space="preserve">The </w:t>
      </w:r>
      <w:r w:rsidR="008B5D3E">
        <w:rPr>
          <w:rFonts w:ascii="avenir" w:eastAsia="Times New Roman" w:hAnsi="avenir" w:cs="Times New Roman"/>
          <w:color w:val="333333"/>
          <w:sz w:val="20"/>
          <w:szCs w:val="20"/>
        </w:rPr>
        <w:t>NGIIF</w:t>
      </w:r>
      <w:r w:rsidR="000576ED">
        <w:rPr>
          <w:rFonts w:ascii="avenir" w:eastAsia="Times New Roman" w:hAnsi="avenir" w:cs="Times New Roman"/>
          <w:color w:val="333333"/>
          <w:sz w:val="20"/>
          <w:szCs w:val="20"/>
        </w:rPr>
        <w:t xml:space="preserve"> referred </w:t>
      </w:r>
      <w:r w:rsidR="007E1D81">
        <w:rPr>
          <w:rFonts w:ascii="avenir" w:eastAsia="Times New Roman" w:hAnsi="avenir" w:cs="Times New Roman"/>
          <w:color w:val="333333"/>
          <w:sz w:val="20"/>
          <w:szCs w:val="20"/>
        </w:rPr>
        <w:t>the</w:t>
      </w:r>
      <w:r w:rsidR="000576ED">
        <w:rPr>
          <w:rFonts w:ascii="avenir" w:eastAsia="Times New Roman" w:hAnsi="avenir" w:cs="Times New Roman"/>
          <w:color w:val="333333"/>
          <w:sz w:val="20"/>
          <w:szCs w:val="20"/>
        </w:rPr>
        <w:t xml:space="preserve"> request</w:t>
      </w:r>
      <w:r w:rsidR="008B5D3E">
        <w:rPr>
          <w:rFonts w:ascii="avenir" w:eastAsia="Times New Roman" w:hAnsi="avenir" w:cs="Times New Roman"/>
          <w:color w:val="333333"/>
          <w:sz w:val="20"/>
          <w:szCs w:val="20"/>
        </w:rPr>
        <w:t xml:space="preserve"> to</w:t>
      </w:r>
      <w:r w:rsidR="000576ED">
        <w:rPr>
          <w:rFonts w:ascii="avenir" w:eastAsia="Times New Roman" w:hAnsi="avenir" w:cs="Times New Roman"/>
          <w:color w:val="333333"/>
          <w:sz w:val="20"/>
          <w:szCs w:val="20"/>
        </w:rPr>
        <w:t xml:space="preserve"> the ATIS</w:t>
      </w:r>
      <w:r w:rsidR="008B5D3E">
        <w:rPr>
          <w:rFonts w:ascii="avenir" w:eastAsia="Times New Roman" w:hAnsi="avenir" w:cs="Times New Roman"/>
          <w:color w:val="333333"/>
          <w:sz w:val="20"/>
          <w:szCs w:val="20"/>
        </w:rPr>
        <w:t xml:space="preserve"> NRSC </w:t>
      </w:r>
      <w:r w:rsidR="000C2A41">
        <w:rPr>
          <w:rFonts w:ascii="avenir" w:eastAsia="Times New Roman" w:hAnsi="avenir" w:cs="Times New Roman"/>
          <w:color w:val="333333"/>
          <w:sz w:val="20"/>
          <w:szCs w:val="20"/>
        </w:rPr>
        <w:t xml:space="preserve">who </w:t>
      </w:r>
      <w:r w:rsidR="009825B3">
        <w:rPr>
          <w:rFonts w:ascii="avenir" w:eastAsia="Times New Roman" w:hAnsi="avenir" w:cs="Times New Roman"/>
          <w:color w:val="333333"/>
          <w:sz w:val="20"/>
          <w:szCs w:val="20"/>
        </w:rPr>
        <w:t xml:space="preserve">discussed the issue and </w:t>
      </w:r>
      <w:r w:rsidR="000C2A41">
        <w:rPr>
          <w:rFonts w:ascii="avenir" w:eastAsia="Times New Roman" w:hAnsi="avenir" w:cs="Times New Roman"/>
          <w:color w:val="333333"/>
          <w:sz w:val="20"/>
          <w:szCs w:val="20"/>
        </w:rPr>
        <w:t>provid</w:t>
      </w:r>
      <w:r w:rsidR="007E1D81">
        <w:rPr>
          <w:rFonts w:ascii="avenir" w:eastAsia="Times New Roman" w:hAnsi="avenir" w:cs="Times New Roman"/>
          <w:color w:val="333333"/>
          <w:sz w:val="20"/>
          <w:szCs w:val="20"/>
        </w:rPr>
        <w:t>ed</w:t>
      </w:r>
      <w:r w:rsidR="000C2A41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r w:rsidR="007E1D81">
        <w:rPr>
          <w:rFonts w:ascii="avenir" w:eastAsia="Times New Roman" w:hAnsi="avenir" w:cs="Times New Roman"/>
          <w:color w:val="333333"/>
          <w:sz w:val="20"/>
          <w:szCs w:val="20"/>
        </w:rPr>
        <w:t xml:space="preserve">the spreadsheet embedded below (Best Practices from NGIIF 071122) in the </w:t>
      </w:r>
      <w:r w:rsidR="00C30CAF">
        <w:rPr>
          <w:rFonts w:ascii="avenir" w:eastAsia="Times New Roman" w:hAnsi="avenir" w:cs="Times New Roman"/>
          <w:color w:val="333333"/>
          <w:sz w:val="20"/>
          <w:szCs w:val="20"/>
        </w:rPr>
        <w:t xml:space="preserve">Prevention </w:t>
      </w:r>
      <w:r w:rsidR="007E1D81">
        <w:rPr>
          <w:rFonts w:ascii="avenir" w:eastAsia="Times New Roman" w:hAnsi="avenir" w:cs="Times New Roman"/>
          <w:color w:val="333333"/>
          <w:sz w:val="20"/>
          <w:szCs w:val="20"/>
        </w:rPr>
        <w:t>section</w:t>
      </w:r>
      <w:r w:rsidR="000C2A41"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14:paraId="16034AF6" w14:textId="77777777" w:rsidR="00B37835" w:rsidRPr="00B37835" w:rsidRDefault="00B37835" w:rsidP="00B378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3783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Documentation Referenced:</w:t>
      </w:r>
    </w:p>
    <w:p w14:paraId="44B9FD07" w14:textId="3A82C09B" w:rsidR="00D371E1" w:rsidRDefault="005253BD" w:rsidP="00B37835">
      <w:pPr>
        <w:numPr>
          <w:ilvl w:val="0"/>
          <w:numId w:val="1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hyperlink r:id="rId7" w:history="1">
        <w:r w:rsidR="00D371E1" w:rsidRPr="0086011C">
          <w:rPr>
            <w:rStyle w:val="Hyperlink"/>
            <w:rFonts w:ascii="avenir" w:eastAsia="Times New Roman" w:hAnsi="avenir" w:cs="Times New Roman"/>
            <w:sz w:val="20"/>
            <w:szCs w:val="20"/>
          </w:rPr>
          <w:t xml:space="preserve">PIM </w:t>
        </w:r>
        <w:r w:rsidR="0014239F" w:rsidRPr="0086011C">
          <w:rPr>
            <w:rStyle w:val="Hyperlink"/>
            <w:rFonts w:ascii="avenir" w:eastAsia="Times New Roman" w:hAnsi="avenir" w:cs="Times New Roman"/>
            <w:sz w:val="20"/>
            <w:szCs w:val="20"/>
          </w:rPr>
          <w:t>142 - DDoS Attack</w:t>
        </w:r>
      </w:hyperlink>
    </w:p>
    <w:p w14:paraId="30869504" w14:textId="07A0493C" w:rsidR="0086011C" w:rsidRDefault="005253BD" w:rsidP="0086011C">
      <w:pPr>
        <w:numPr>
          <w:ilvl w:val="0"/>
          <w:numId w:val="1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hyperlink r:id="rId8" w:history="1">
        <w:r w:rsidR="0086011C" w:rsidRPr="0086011C">
          <w:rPr>
            <w:rStyle w:val="Hyperlink"/>
            <w:rFonts w:ascii="avenir" w:eastAsia="Times New Roman" w:hAnsi="avenir" w:cs="Times New Roman"/>
            <w:sz w:val="20"/>
            <w:szCs w:val="20"/>
          </w:rPr>
          <w:t>BP 069 - Large Port Notification</w:t>
        </w:r>
      </w:hyperlink>
    </w:p>
    <w:p w14:paraId="3C88E075" w14:textId="294582D6" w:rsidR="00280676" w:rsidRDefault="005253BD" w:rsidP="0086011C">
      <w:pPr>
        <w:numPr>
          <w:ilvl w:val="0"/>
          <w:numId w:val="1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hyperlink r:id="rId9" w:history="1">
        <w:r w:rsidR="00280676" w:rsidRPr="00D46F7E">
          <w:rPr>
            <w:rStyle w:val="Hyperlink"/>
            <w:rFonts w:ascii="avenir" w:eastAsia="Times New Roman" w:hAnsi="avenir" w:cs="Times New Roman"/>
            <w:sz w:val="20"/>
            <w:szCs w:val="20"/>
          </w:rPr>
          <w:t>FRS (Functional Requirements Specification)</w:t>
        </w:r>
      </w:hyperlink>
    </w:p>
    <w:p w14:paraId="01E0F8E0" w14:textId="124A0A09" w:rsidR="00B37835" w:rsidRPr="00C30CAF" w:rsidRDefault="00B37835" w:rsidP="00A169DC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r w:rsidRPr="00C30CAF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</w:p>
    <w:p w14:paraId="74CB1E43" w14:textId="0ABAD678" w:rsidR="00AC51AB" w:rsidRDefault="009B2710" w:rsidP="00B378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>S</w:t>
      </w:r>
      <w:r w:rsidR="00AC51AB" w:rsidRPr="00AC51AB">
        <w:rPr>
          <w:rFonts w:ascii="avenir" w:eastAsia="Times New Roman" w:hAnsi="avenir" w:cs="Times New Roman"/>
          <w:color w:val="333333"/>
          <w:sz w:val="20"/>
          <w:szCs w:val="20"/>
        </w:rPr>
        <w:t xml:space="preserve">ervice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P</w:t>
      </w:r>
      <w:r w:rsidR="00AC51AB" w:rsidRPr="00AC51AB">
        <w:rPr>
          <w:rFonts w:ascii="avenir" w:eastAsia="Times New Roman" w:hAnsi="avenir" w:cs="Times New Roman"/>
          <w:color w:val="333333"/>
          <w:sz w:val="20"/>
          <w:szCs w:val="20"/>
        </w:rPr>
        <w:t>roviders are susceptible to IP network attacks</w:t>
      </w:r>
      <w:r w:rsidR="00AC51AB">
        <w:rPr>
          <w:rFonts w:ascii="avenir" w:eastAsia="Times New Roman" w:hAnsi="avenir" w:cs="Times New Roman"/>
          <w:color w:val="333333"/>
          <w:sz w:val="20"/>
          <w:szCs w:val="20"/>
        </w:rPr>
        <w:t xml:space="preserve"> such as</w:t>
      </w:r>
      <w:r w:rsidR="00AC51AB" w:rsidRPr="00AC51AB">
        <w:rPr>
          <w:rFonts w:ascii="avenir" w:eastAsia="Times New Roman" w:hAnsi="avenir" w:cs="Times New Roman"/>
          <w:color w:val="333333"/>
          <w:sz w:val="20"/>
          <w:szCs w:val="20"/>
        </w:rPr>
        <w:t xml:space="preserve"> DDoS</w:t>
      </w:r>
      <w:r w:rsidR="00AC51AB">
        <w:rPr>
          <w:rFonts w:ascii="avenir" w:eastAsia="Times New Roman" w:hAnsi="avenir" w:cs="Times New Roman"/>
          <w:color w:val="333333"/>
          <w:sz w:val="20"/>
          <w:szCs w:val="20"/>
        </w:rPr>
        <w:t>.</w:t>
      </w:r>
      <w:r w:rsidR="00AC51AB" w:rsidRPr="00AC51AB">
        <w:rPr>
          <w:rFonts w:ascii="avenir" w:eastAsia="Times New Roman" w:hAnsi="avenir" w:cs="Times New Roman"/>
          <w:color w:val="333333"/>
          <w:sz w:val="20"/>
          <w:szCs w:val="20"/>
        </w:rPr>
        <w:t xml:space="preserve">  </w:t>
      </w:r>
      <w:r w:rsidR="00A3146C">
        <w:rPr>
          <w:rFonts w:ascii="avenir" w:eastAsia="Times New Roman" w:hAnsi="avenir" w:cs="Times New Roman"/>
          <w:color w:val="333333"/>
          <w:sz w:val="20"/>
          <w:szCs w:val="20"/>
        </w:rPr>
        <w:t xml:space="preserve">Industry Best Practices (NGIIF reference) should be implemented, and it is strongly recommended that any/all Industry Best Practices should be utilized in the prevention of DDoS attacks. </w:t>
      </w:r>
      <w:r w:rsidR="00A7293C" w:rsidRPr="00AC51AB">
        <w:rPr>
          <w:rFonts w:ascii="avenir" w:eastAsia="Times New Roman" w:hAnsi="avenir" w:cs="Times New Roman"/>
          <w:color w:val="333333"/>
          <w:sz w:val="20"/>
          <w:szCs w:val="20"/>
        </w:rPr>
        <w:t xml:space="preserve">  </w:t>
      </w:r>
      <w:r w:rsidR="00A7293C">
        <w:rPr>
          <w:rFonts w:ascii="avenir" w:eastAsia="Times New Roman" w:hAnsi="avenir" w:cs="Times New Roman"/>
          <w:color w:val="333333"/>
          <w:sz w:val="20"/>
          <w:szCs w:val="20"/>
        </w:rPr>
        <w:t xml:space="preserve">Use of number portability as a solution should be a last resort In the mitigation of a DDoS attack.  </w:t>
      </w:r>
      <w:r w:rsidR="00AC51AB" w:rsidRPr="000A60B2">
        <w:rPr>
          <w:rFonts w:ascii="avenir" w:eastAsia="Times New Roman" w:hAnsi="avenir" w:cs="Times New Roman"/>
          <w:color w:val="333333"/>
          <w:sz w:val="20"/>
          <w:szCs w:val="20"/>
        </w:rPr>
        <w:t xml:space="preserve">The current number portability ecosystem </w:t>
      </w:r>
      <w:r w:rsidR="003C495F" w:rsidRPr="000A60B2">
        <w:rPr>
          <w:rFonts w:ascii="avenir" w:eastAsia="Times New Roman" w:hAnsi="avenir" w:cs="Times New Roman"/>
          <w:color w:val="333333"/>
          <w:sz w:val="20"/>
          <w:szCs w:val="20"/>
        </w:rPr>
        <w:t xml:space="preserve">(Local systems, Network components, NPAC) </w:t>
      </w:r>
      <w:r w:rsidR="00AC51AB" w:rsidRPr="000A60B2">
        <w:rPr>
          <w:rFonts w:ascii="avenir" w:eastAsia="Times New Roman" w:hAnsi="avenir" w:cs="Times New Roman"/>
          <w:color w:val="333333"/>
          <w:sz w:val="20"/>
          <w:szCs w:val="20"/>
        </w:rPr>
        <w:t>is not equipped to support the porting volumes and short timeframes required to quickly remediate outages caused by these</w:t>
      </w:r>
      <w:r w:rsidR="00AC51AB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r w:rsidR="000A60B2">
        <w:rPr>
          <w:rFonts w:ascii="avenir" w:eastAsia="Times New Roman" w:hAnsi="avenir" w:cs="Times New Roman"/>
          <w:color w:val="333333"/>
          <w:sz w:val="20"/>
          <w:szCs w:val="20"/>
        </w:rPr>
        <w:t>types</w:t>
      </w:r>
      <w:r w:rsidR="00AC51AB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r w:rsidR="000A60B2">
        <w:rPr>
          <w:rFonts w:ascii="avenir" w:eastAsia="Times New Roman" w:hAnsi="avenir" w:cs="Times New Roman"/>
          <w:color w:val="333333"/>
          <w:sz w:val="20"/>
          <w:szCs w:val="20"/>
        </w:rPr>
        <w:t xml:space="preserve">of </w:t>
      </w:r>
      <w:r w:rsidR="00AC51AB">
        <w:rPr>
          <w:rFonts w:ascii="avenir" w:eastAsia="Times New Roman" w:hAnsi="avenir" w:cs="Times New Roman"/>
          <w:color w:val="333333"/>
          <w:sz w:val="20"/>
          <w:szCs w:val="20"/>
        </w:rPr>
        <w:t>attacks</w:t>
      </w:r>
      <w:r w:rsidR="00A7293C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</w:p>
    <w:p w14:paraId="509E9938" w14:textId="3CC26594" w:rsidR="00AD7154" w:rsidRDefault="00AD7154" w:rsidP="006512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A60B2">
        <w:rPr>
          <w:rFonts w:ascii="avenir" w:eastAsia="Times New Roman" w:hAnsi="avenir" w:cs="Times New Roman"/>
          <w:b/>
          <w:bCs/>
          <w:color w:val="333333"/>
          <w:sz w:val="20"/>
          <w:szCs w:val="20"/>
          <w:u w:val="single"/>
        </w:rPr>
        <w:t>Prevention</w:t>
      </w:r>
    </w:p>
    <w:p w14:paraId="204047A1" w14:textId="08BFAA26" w:rsidR="00C30CAF" w:rsidRDefault="00AD7154" w:rsidP="006512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DDoS and other attacks that impact networks </w:t>
      </w:r>
      <w:r w:rsidR="00850FB1">
        <w:rPr>
          <w:rFonts w:ascii="avenir" w:eastAsia="Times New Roman" w:hAnsi="avenir" w:cs="Times New Roman"/>
          <w:color w:val="333333"/>
          <w:sz w:val="20"/>
          <w:szCs w:val="20"/>
        </w:rPr>
        <w:t xml:space="preserve">and specifically telephone call completion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evolve rapidly and therefore cannot always be </w:t>
      </w:r>
      <w:r w:rsidR="00850FB1">
        <w:rPr>
          <w:rFonts w:ascii="avenir" w:eastAsia="Times New Roman" w:hAnsi="avenir" w:cs="Times New Roman"/>
          <w:color w:val="333333"/>
          <w:sz w:val="20"/>
          <w:szCs w:val="20"/>
        </w:rPr>
        <w:t>prevented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.  However, </w:t>
      </w:r>
      <w:r w:rsidR="00850FB1">
        <w:rPr>
          <w:rFonts w:ascii="avenir" w:eastAsia="Times New Roman" w:hAnsi="avenir" w:cs="Times New Roman"/>
          <w:color w:val="333333"/>
          <w:sz w:val="20"/>
          <w:szCs w:val="20"/>
        </w:rPr>
        <w:t>t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o avoid being </w:t>
      </w:r>
      <w:r w:rsidR="00850FB1">
        <w:rPr>
          <w:rFonts w:ascii="avenir" w:eastAsia="Times New Roman" w:hAnsi="avenir" w:cs="Times New Roman"/>
          <w:color w:val="333333"/>
          <w:sz w:val="20"/>
          <w:szCs w:val="20"/>
        </w:rPr>
        <w:t>i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mpacted by a DDoS or other attack, Service Providers and their vendors should follow Industry Security Best Practices</w:t>
      </w:r>
      <w:r w:rsidR="009D182E">
        <w:rPr>
          <w:rFonts w:ascii="avenir" w:eastAsia="Times New Roman" w:hAnsi="avenir" w:cs="Times New Roman"/>
          <w:color w:val="333333"/>
          <w:sz w:val="20"/>
          <w:szCs w:val="20"/>
        </w:rPr>
        <w:t xml:space="preserve"> such as those listed </w:t>
      </w:r>
      <w:r w:rsidR="00C30CAF">
        <w:rPr>
          <w:rFonts w:ascii="avenir" w:eastAsia="Times New Roman" w:hAnsi="avenir" w:cs="Times New Roman"/>
          <w:color w:val="333333"/>
          <w:sz w:val="20"/>
          <w:szCs w:val="20"/>
        </w:rPr>
        <w:t>in the embedded spreadsheet (Best Practices from NGIIF 071122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 </w:t>
      </w:r>
    </w:p>
    <w:p w14:paraId="74BD8A09" w14:textId="057CCFE5" w:rsidR="00AD7154" w:rsidRDefault="00C30CAF" w:rsidP="006512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object w:dxaOrig="1508" w:dyaOrig="984" w14:anchorId="116B05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10" o:title=""/>
          </v:shape>
          <o:OLEObject Type="Embed" ProgID="Excel.Sheet.12" ShapeID="_x0000_i1025" DrawAspect="Icon" ObjectID="_1726314996" r:id="rId11"/>
        </w:object>
      </w:r>
    </w:p>
    <w:p w14:paraId="5657249B" w14:textId="2BD5360D" w:rsidR="00C30CAF" w:rsidRPr="00504739" w:rsidRDefault="00C30CAF" w:rsidP="00555E49">
      <w:pPr>
        <w:spacing w:line="276" w:lineRule="auto"/>
        <w:rPr>
          <w:rFonts w:ascii="avenir" w:hAnsi="avenir" w:cs="Arial"/>
          <w:sz w:val="20"/>
          <w:szCs w:val="20"/>
          <w:lang w:val="en"/>
        </w:rPr>
      </w:pPr>
      <w:r w:rsidRPr="00504739">
        <w:rPr>
          <w:rFonts w:ascii="avenir" w:hAnsi="avenir" w:cs="Arial"/>
          <w:sz w:val="20"/>
          <w:szCs w:val="20"/>
          <w:lang w:val="en"/>
        </w:rPr>
        <w:t>In addition</w:t>
      </w:r>
      <w:r w:rsidR="009825B3">
        <w:rPr>
          <w:rFonts w:ascii="avenir" w:hAnsi="avenir" w:cs="Arial"/>
          <w:sz w:val="20"/>
          <w:szCs w:val="20"/>
          <w:lang w:val="en"/>
        </w:rPr>
        <w:t>,</w:t>
      </w:r>
      <w:r w:rsidRPr="00504739">
        <w:rPr>
          <w:rFonts w:ascii="avenir" w:hAnsi="avenir" w:cs="Arial"/>
          <w:sz w:val="20"/>
          <w:szCs w:val="20"/>
          <w:lang w:val="en"/>
        </w:rPr>
        <w:t xml:space="preserve"> the NGIIF provided the following guidance </w:t>
      </w:r>
      <w:r w:rsidR="00AB268C">
        <w:rPr>
          <w:rFonts w:ascii="avenir" w:hAnsi="avenir" w:cs="Arial"/>
          <w:sz w:val="20"/>
          <w:szCs w:val="20"/>
          <w:lang w:val="en"/>
        </w:rPr>
        <w:t xml:space="preserve">in </w:t>
      </w:r>
      <w:r w:rsidRPr="00504739">
        <w:rPr>
          <w:rFonts w:ascii="avenir" w:hAnsi="avenir" w:cs="Arial"/>
          <w:sz w:val="20"/>
          <w:szCs w:val="20"/>
          <w:lang w:val="en"/>
        </w:rPr>
        <w:t>the prevention of DDoS attacks:</w:t>
      </w:r>
    </w:p>
    <w:p w14:paraId="3392672C" w14:textId="36E58552" w:rsidR="00555E49" w:rsidRPr="00504739" w:rsidRDefault="00555E49" w:rsidP="00504739">
      <w:pPr>
        <w:spacing w:line="276" w:lineRule="auto"/>
        <w:ind w:left="720"/>
        <w:rPr>
          <w:rFonts w:ascii="avenir" w:hAnsi="avenir" w:cs="Arial"/>
          <w:i/>
          <w:iCs/>
          <w:sz w:val="20"/>
          <w:szCs w:val="20"/>
        </w:rPr>
      </w:pPr>
      <w:r w:rsidRPr="00504739">
        <w:rPr>
          <w:rFonts w:ascii="avenir" w:hAnsi="avenir" w:cs="Arial"/>
          <w:i/>
          <w:iCs/>
          <w:sz w:val="20"/>
          <w:szCs w:val="20"/>
          <w:lang w:val="en"/>
        </w:rPr>
        <w:t>NRSC pointed NGIIF to online resources outlining similar recommendations, including the New Jersey Cybersecurity &amp; Communications Integration Cell’s (JCCIC) DDOS Attack Types and Mitigation Strategies webpage (</w:t>
      </w:r>
      <w:hyperlink r:id="rId12" w:history="1">
        <w:r w:rsidRPr="00504739">
          <w:rPr>
            <w:rStyle w:val="Hyperlink"/>
            <w:rFonts w:ascii="avenir" w:hAnsi="avenir" w:cs="Arial"/>
            <w:i/>
            <w:iCs/>
            <w:sz w:val="20"/>
            <w:szCs w:val="20"/>
            <w:lang w:val="en"/>
          </w:rPr>
          <w:t>https://www.cyber.nj.gov/this-is-security/ddos-attack-types-and-mitigation-strategies</w:t>
        </w:r>
      </w:hyperlink>
      <w:r w:rsidRPr="00504739">
        <w:rPr>
          <w:rFonts w:ascii="avenir" w:hAnsi="avenir" w:cs="Arial"/>
          <w:i/>
          <w:iCs/>
          <w:sz w:val="20"/>
          <w:szCs w:val="20"/>
          <w:lang w:val="en"/>
        </w:rPr>
        <w:t>).</w:t>
      </w:r>
    </w:p>
    <w:p w14:paraId="3D5A265B" w14:textId="55913D88" w:rsidR="00555E49" w:rsidRPr="00504739" w:rsidRDefault="00555E49" w:rsidP="00504739">
      <w:pPr>
        <w:spacing w:line="276" w:lineRule="auto"/>
        <w:ind w:left="720"/>
        <w:rPr>
          <w:rFonts w:ascii="avenir" w:hAnsi="avenir" w:cs="Arial"/>
          <w:i/>
          <w:iCs/>
          <w:sz w:val="20"/>
          <w:szCs w:val="20"/>
        </w:rPr>
      </w:pPr>
      <w:r w:rsidRPr="00504739">
        <w:rPr>
          <w:rFonts w:ascii="avenir" w:hAnsi="avenir" w:cs="Arial"/>
          <w:i/>
          <w:iCs/>
          <w:sz w:val="20"/>
          <w:szCs w:val="20"/>
          <w:lang w:val="en"/>
        </w:rPr>
        <w:t xml:space="preserve"> Additionally, NGIIF members worked with internal experts to understand what service reinstatement could look like.  One provider mentioned that their network engineering team concurred with NRSC’s findings that when dealing with a DOS attack, providers must focus on prevention and mitigation efforts.  </w:t>
      </w:r>
    </w:p>
    <w:p w14:paraId="757991D2" w14:textId="4AF11D57" w:rsidR="00555E49" w:rsidRPr="00504739" w:rsidRDefault="00555E49" w:rsidP="00504739">
      <w:pPr>
        <w:spacing w:line="276" w:lineRule="auto"/>
        <w:ind w:left="720"/>
        <w:rPr>
          <w:rFonts w:ascii="avenir" w:hAnsi="avenir" w:cs="Arial"/>
          <w:i/>
          <w:iCs/>
          <w:sz w:val="20"/>
          <w:szCs w:val="20"/>
        </w:rPr>
      </w:pPr>
      <w:r w:rsidRPr="00504739">
        <w:rPr>
          <w:rFonts w:ascii="avenir" w:hAnsi="avenir" w:cs="Arial"/>
          <w:i/>
          <w:iCs/>
          <w:sz w:val="20"/>
          <w:szCs w:val="20"/>
          <w:lang w:val="en"/>
        </w:rPr>
        <w:t xml:space="preserve">This provider listed four ways to help with DOS prevention: </w:t>
      </w:r>
    </w:p>
    <w:p w14:paraId="2E287F5A" w14:textId="77777777" w:rsidR="005341BE" w:rsidRPr="00504739" w:rsidRDefault="00555E49" w:rsidP="005341BE">
      <w:pPr>
        <w:pStyle w:val="ListParagraph"/>
        <w:numPr>
          <w:ilvl w:val="0"/>
          <w:numId w:val="5"/>
        </w:numPr>
        <w:tabs>
          <w:tab w:val="clear" w:pos="720"/>
          <w:tab w:val="num" w:pos="1440"/>
        </w:tabs>
        <w:spacing w:line="276" w:lineRule="auto"/>
        <w:ind w:left="1440"/>
        <w:rPr>
          <w:rFonts w:ascii="avenir" w:eastAsia="Times New Roman" w:hAnsi="avenir" w:cs="Arial"/>
          <w:i/>
          <w:iCs/>
          <w:sz w:val="20"/>
          <w:szCs w:val="20"/>
        </w:rPr>
      </w:pPr>
      <w:r w:rsidRPr="00504739">
        <w:rPr>
          <w:rFonts w:ascii="avenir" w:eastAsia="Times New Roman" w:hAnsi="avenir" w:cs="Arial"/>
          <w:i/>
          <w:iCs/>
          <w:sz w:val="20"/>
          <w:szCs w:val="20"/>
          <w:lang w:val="en"/>
        </w:rPr>
        <w:t>Direct Connections with Customers and Peering Partners (Carriers)</w:t>
      </w:r>
    </w:p>
    <w:p w14:paraId="1ECD6526" w14:textId="77777777" w:rsidR="005341BE" w:rsidRPr="00504739" w:rsidRDefault="00555E49" w:rsidP="005341BE">
      <w:pPr>
        <w:pStyle w:val="ListParagraph"/>
        <w:numPr>
          <w:ilvl w:val="2"/>
          <w:numId w:val="5"/>
        </w:numPr>
        <w:spacing w:line="276" w:lineRule="auto"/>
        <w:rPr>
          <w:rFonts w:ascii="avenir" w:eastAsia="Times New Roman" w:hAnsi="avenir" w:cs="Arial"/>
          <w:i/>
          <w:iCs/>
          <w:sz w:val="20"/>
          <w:szCs w:val="20"/>
        </w:rPr>
      </w:pPr>
      <w:r w:rsidRPr="00504739">
        <w:rPr>
          <w:rFonts w:ascii="avenir" w:eastAsia="Times New Roman" w:hAnsi="avenir" w:cs="Arial"/>
          <w:i/>
          <w:iCs/>
          <w:sz w:val="20"/>
          <w:szCs w:val="20"/>
          <w:lang w:val="en"/>
        </w:rPr>
        <w:t xml:space="preserve">A direct connection will allow traffic to bypass the public internet, which is typically the source of DOS attacks and thus offer additional security due to its private nature.  </w:t>
      </w:r>
    </w:p>
    <w:p w14:paraId="5DF7913C" w14:textId="16BAFECB" w:rsidR="00555E49" w:rsidRPr="00504739" w:rsidRDefault="00555E49" w:rsidP="00504739">
      <w:pPr>
        <w:pStyle w:val="ListParagraph"/>
        <w:numPr>
          <w:ilvl w:val="2"/>
          <w:numId w:val="5"/>
        </w:numPr>
        <w:spacing w:line="276" w:lineRule="auto"/>
        <w:rPr>
          <w:rFonts w:ascii="avenir" w:eastAsia="Times New Roman" w:hAnsi="avenir" w:cs="Arial"/>
          <w:i/>
          <w:iCs/>
          <w:sz w:val="20"/>
          <w:szCs w:val="20"/>
        </w:rPr>
      </w:pPr>
      <w:r w:rsidRPr="00504739">
        <w:rPr>
          <w:rFonts w:ascii="avenir" w:eastAsia="Times New Roman" w:hAnsi="avenir" w:cs="Arial"/>
          <w:i/>
          <w:iCs/>
          <w:sz w:val="20"/>
          <w:szCs w:val="20"/>
          <w:lang w:val="en"/>
        </w:rPr>
        <w:t xml:space="preserve">The internet cannot always be avoided and therefore the hardware used to build the network will still need additional prevention methods (see below).  </w:t>
      </w:r>
    </w:p>
    <w:p w14:paraId="162010B9" w14:textId="77777777" w:rsidR="00491CF0" w:rsidRPr="00491CF0" w:rsidRDefault="00555E49" w:rsidP="00424F9C">
      <w:pPr>
        <w:pStyle w:val="ListParagraph"/>
        <w:numPr>
          <w:ilvl w:val="0"/>
          <w:numId w:val="6"/>
        </w:numPr>
        <w:tabs>
          <w:tab w:val="num" w:pos="1440"/>
        </w:tabs>
        <w:spacing w:after="0" w:line="276" w:lineRule="auto"/>
        <w:ind w:left="1440"/>
        <w:rPr>
          <w:rFonts w:ascii="avenir" w:eastAsia="Times New Roman" w:hAnsi="avenir" w:cs="Arial"/>
          <w:i/>
          <w:iCs/>
          <w:sz w:val="20"/>
          <w:szCs w:val="20"/>
        </w:rPr>
      </w:pPr>
      <w:r w:rsidRPr="00491CF0">
        <w:rPr>
          <w:rFonts w:ascii="avenir" w:eastAsia="Times New Roman" w:hAnsi="avenir" w:cs="Arial"/>
          <w:i/>
          <w:iCs/>
          <w:sz w:val="20"/>
          <w:szCs w:val="20"/>
          <w:lang w:val="en"/>
        </w:rPr>
        <w:t>Robust Routing Hardware</w:t>
      </w:r>
    </w:p>
    <w:p w14:paraId="71C6738F" w14:textId="5EB30DAA" w:rsidR="00491CF0" w:rsidRPr="00491CF0" w:rsidRDefault="00555E49" w:rsidP="00491CF0">
      <w:pPr>
        <w:pStyle w:val="ListParagraph"/>
        <w:numPr>
          <w:ilvl w:val="2"/>
          <w:numId w:val="6"/>
        </w:numPr>
        <w:tabs>
          <w:tab w:val="num" w:pos="1440"/>
        </w:tabs>
        <w:spacing w:after="0" w:line="276" w:lineRule="auto"/>
        <w:rPr>
          <w:rFonts w:ascii="avenir" w:eastAsia="Times New Roman" w:hAnsi="avenir" w:cs="Arial"/>
          <w:i/>
          <w:iCs/>
          <w:sz w:val="20"/>
          <w:szCs w:val="20"/>
        </w:rPr>
      </w:pPr>
      <w:r w:rsidRPr="00491CF0">
        <w:rPr>
          <w:rFonts w:ascii="avenir" w:eastAsia="Times New Roman" w:hAnsi="avenir" w:cs="Arial"/>
          <w:i/>
          <w:iCs/>
          <w:sz w:val="20"/>
          <w:szCs w:val="20"/>
          <w:lang w:val="en"/>
        </w:rPr>
        <w:t>Service providers should deploy modern routing hardware that is carrier grade.</w:t>
      </w:r>
    </w:p>
    <w:p w14:paraId="769E8C6E" w14:textId="10BE5B6F" w:rsidR="005341BE" w:rsidRPr="00491CF0" w:rsidRDefault="00555E49" w:rsidP="00241178">
      <w:pPr>
        <w:pStyle w:val="ListParagraph"/>
        <w:numPr>
          <w:ilvl w:val="0"/>
          <w:numId w:val="6"/>
        </w:numPr>
        <w:tabs>
          <w:tab w:val="num" w:pos="1440"/>
        </w:tabs>
        <w:spacing w:after="0" w:line="276" w:lineRule="auto"/>
        <w:ind w:left="1440"/>
        <w:rPr>
          <w:rFonts w:ascii="avenir" w:eastAsia="Times New Roman" w:hAnsi="avenir" w:cs="Arial"/>
          <w:i/>
          <w:iCs/>
          <w:sz w:val="20"/>
          <w:szCs w:val="20"/>
        </w:rPr>
      </w:pPr>
      <w:r w:rsidRPr="00491CF0">
        <w:rPr>
          <w:rFonts w:ascii="avenir" w:eastAsia="Times New Roman" w:hAnsi="avenir" w:cs="Arial"/>
          <w:i/>
          <w:iCs/>
          <w:sz w:val="20"/>
          <w:szCs w:val="20"/>
          <w:lang w:val="en"/>
        </w:rPr>
        <w:t>Increased Capacity</w:t>
      </w:r>
    </w:p>
    <w:p w14:paraId="6CF070E2" w14:textId="77777777" w:rsidR="00AD6E4A" w:rsidRPr="00AD6E4A" w:rsidRDefault="00555E49" w:rsidP="00AD6E4A">
      <w:pPr>
        <w:pStyle w:val="ListParagraph"/>
        <w:numPr>
          <w:ilvl w:val="2"/>
          <w:numId w:val="6"/>
        </w:numPr>
        <w:tabs>
          <w:tab w:val="num" w:pos="1440"/>
        </w:tabs>
        <w:spacing w:after="0" w:line="276" w:lineRule="auto"/>
        <w:rPr>
          <w:rFonts w:ascii="avenir" w:eastAsia="Times New Roman" w:hAnsi="avenir" w:cs="Arial"/>
          <w:i/>
          <w:iCs/>
          <w:sz w:val="20"/>
          <w:szCs w:val="20"/>
        </w:rPr>
      </w:pPr>
      <w:r w:rsidRPr="00504739">
        <w:rPr>
          <w:rFonts w:ascii="avenir" w:eastAsia="Times New Roman" w:hAnsi="avenir" w:cs="Arial"/>
          <w:i/>
          <w:iCs/>
          <w:sz w:val="20"/>
          <w:szCs w:val="20"/>
          <w:lang w:val="en"/>
        </w:rPr>
        <w:t xml:space="preserve">Transit and backbone connections between Points of Presence (PoP) should have increased capacity that can help absorb leakage from a DOS attack after proper mitigation.  </w:t>
      </w:r>
    </w:p>
    <w:p w14:paraId="634F7C56" w14:textId="7DEFA095" w:rsidR="005341BE" w:rsidRPr="00AD6E4A" w:rsidRDefault="00555E49" w:rsidP="00AD6E4A">
      <w:pPr>
        <w:pStyle w:val="ListParagraph"/>
        <w:numPr>
          <w:ilvl w:val="1"/>
          <w:numId w:val="16"/>
        </w:numPr>
        <w:tabs>
          <w:tab w:val="num" w:pos="1440"/>
        </w:tabs>
        <w:spacing w:after="0" w:line="276" w:lineRule="auto"/>
        <w:ind w:left="1440"/>
        <w:rPr>
          <w:rFonts w:ascii="avenir" w:eastAsia="Times New Roman" w:hAnsi="avenir" w:cs="Arial"/>
          <w:i/>
          <w:iCs/>
          <w:sz w:val="20"/>
          <w:szCs w:val="20"/>
        </w:rPr>
      </w:pPr>
      <w:r w:rsidRPr="00AD6E4A">
        <w:rPr>
          <w:rFonts w:ascii="avenir" w:eastAsia="Times New Roman" w:hAnsi="avenir" w:cs="Arial"/>
          <w:i/>
          <w:iCs/>
          <w:sz w:val="20"/>
          <w:szCs w:val="20"/>
        </w:rPr>
        <w:t>DOS Mitigation Services</w:t>
      </w:r>
    </w:p>
    <w:p w14:paraId="2357CCD7" w14:textId="77777777" w:rsidR="00DD2196" w:rsidRDefault="00555E49" w:rsidP="005341BE">
      <w:pPr>
        <w:pStyle w:val="ListParagraph"/>
        <w:numPr>
          <w:ilvl w:val="0"/>
          <w:numId w:val="15"/>
        </w:numPr>
        <w:rPr>
          <w:rFonts w:ascii="avenir" w:eastAsia="Times New Roman" w:hAnsi="avenir" w:cs="Arial"/>
          <w:i/>
          <w:iCs/>
          <w:sz w:val="20"/>
          <w:szCs w:val="20"/>
          <w:lang w:val="en"/>
        </w:rPr>
      </w:pPr>
      <w:r w:rsidRPr="00504739">
        <w:rPr>
          <w:rFonts w:ascii="avenir" w:eastAsia="Times New Roman" w:hAnsi="avenir" w:cs="Arial"/>
          <w:i/>
          <w:iCs/>
          <w:sz w:val="20"/>
          <w:szCs w:val="20"/>
          <w:lang w:val="en"/>
        </w:rPr>
        <w:t>Mitigation services should be deployed to an upstream Network Service Provider (NSP) or DOS provider to filter and block DOS attacks from reaching the Service Provider’s network.</w:t>
      </w:r>
    </w:p>
    <w:p w14:paraId="608CE4BD" w14:textId="6478FC19" w:rsidR="005341BE" w:rsidRDefault="00DD2196" w:rsidP="00504739">
      <w:pPr>
        <w:pStyle w:val="ListParagraph"/>
        <w:numPr>
          <w:ilvl w:val="0"/>
          <w:numId w:val="15"/>
        </w:numPr>
        <w:rPr>
          <w:rFonts w:ascii="avenir" w:eastAsia="Times New Roman" w:hAnsi="avenir" w:cs="Arial"/>
          <w:i/>
          <w:iCs/>
          <w:sz w:val="20"/>
          <w:szCs w:val="20"/>
          <w:lang w:val="en"/>
        </w:rPr>
      </w:pPr>
      <w:r>
        <w:rPr>
          <w:rFonts w:ascii="avenir" w:eastAsia="Times New Roman" w:hAnsi="avenir" w:cs="Arial"/>
          <w:i/>
          <w:iCs/>
          <w:sz w:val="20"/>
          <w:szCs w:val="20"/>
          <w:lang w:val="en"/>
        </w:rPr>
        <w:t>Legit traffic should be passed after the DOS mitigation service scrubbing</w:t>
      </w:r>
      <w:r w:rsidR="00555E49" w:rsidRPr="00504739">
        <w:rPr>
          <w:rFonts w:ascii="avenir" w:eastAsia="Times New Roman" w:hAnsi="avenir" w:cs="Arial"/>
          <w:i/>
          <w:iCs/>
          <w:sz w:val="20"/>
          <w:szCs w:val="20"/>
          <w:lang w:val="en"/>
        </w:rPr>
        <w:t xml:space="preserve"> </w:t>
      </w:r>
    </w:p>
    <w:p w14:paraId="16644B54" w14:textId="77777777" w:rsidR="00555E49" w:rsidRPr="00C30CAF" w:rsidRDefault="00555E49" w:rsidP="00504739">
      <w:pPr>
        <w:pStyle w:val="ListParagraph"/>
        <w:ind w:left="1080"/>
        <w:rPr>
          <w:color w:val="333333"/>
        </w:rPr>
      </w:pPr>
    </w:p>
    <w:p w14:paraId="48980188" w14:textId="51CEF67A" w:rsidR="00AD7154" w:rsidRPr="00C30CAF" w:rsidRDefault="00B47968" w:rsidP="00651226">
      <w:pPr>
        <w:spacing w:after="195" w:line="270" w:lineRule="atLeast"/>
        <w:rPr>
          <w:rFonts w:ascii="avenir" w:eastAsia="Times New Roman" w:hAnsi="avenir" w:cs="Times New Roman"/>
          <w:b/>
          <w:bCs/>
          <w:color w:val="333333"/>
          <w:sz w:val="20"/>
          <w:szCs w:val="20"/>
          <w:u w:val="single"/>
        </w:rPr>
      </w:pPr>
      <w:r w:rsidRPr="00C30CAF">
        <w:rPr>
          <w:rFonts w:ascii="avenir" w:eastAsia="Times New Roman" w:hAnsi="avenir" w:cs="Times New Roman"/>
          <w:b/>
          <w:bCs/>
          <w:color w:val="333333"/>
          <w:sz w:val="20"/>
          <w:szCs w:val="20"/>
          <w:u w:val="single"/>
        </w:rPr>
        <w:t>Remediation after attack has been propagated</w:t>
      </w:r>
      <w:r w:rsidR="00AD7154" w:rsidRPr="00C30CAF">
        <w:rPr>
          <w:rFonts w:ascii="avenir" w:eastAsia="Times New Roman" w:hAnsi="avenir" w:cs="Times New Roman"/>
          <w:b/>
          <w:bCs/>
          <w:color w:val="333333"/>
          <w:sz w:val="20"/>
          <w:szCs w:val="20"/>
          <w:u w:val="single"/>
        </w:rPr>
        <w:t>:</w:t>
      </w:r>
    </w:p>
    <w:p w14:paraId="46AFD530" w14:textId="1449FB8E" w:rsidR="00D371E1" w:rsidRPr="00651226" w:rsidRDefault="00D371E1" w:rsidP="0065122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30CAF">
        <w:rPr>
          <w:rFonts w:ascii="avenir" w:eastAsia="Times New Roman" w:hAnsi="avenir" w:cs="Times New Roman"/>
          <w:color w:val="333333"/>
          <w:sz w:val="20"/>
          <w:szCs w:val="20"/>
        </w:rPr>
        <w:t>When service outages occur</w:t>
      </w:r>
      <w:r w:rsidR="00817752" w:rsidRPr="00C30CAF">
        <w:rPr>
          <w:rFonts w:ascii="avenir" w:eastAsia="Times New Roman" w:hAnsi="avenir" w:cs="Times New Roman"/>
          <w:color w:val="333333"/>
          <w:sz w:val="20"/>
          <w:szCs w:val="20"/>
        </w:rPr>
        <w:t xml:space="preserve"> and</w:t>
      </w:r>
      <w:r w:rsidRPr="00C30CAF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r w:rsidR="00817752" w:rsidRPr="00C30CAF">
        <w:rPr>
          <w:rFonts w:ascii="avenir" w:eastAsia="Times New Roman" w:hAnsi="avenir" w:cs="Times New Roman"/>
          <w:color w:val="333333"/>
          <w:sz w:val="20"/>
          <w:szCs w:val="20"/>
        </w:rPr>
        <w:t xml:space="preserve">the only available </w:t>
      </w:r>
      <w:r w:rsidR="007F4223" w:rsidRPr="00C30CAF">
        <w:rPr>
          <w:rFonts w:ascii="avenir" w:eastAsia="Times New Roman" w:hAnsi="avenir" w:cs="Times New Roman"/>
          <w:color w:val="333333"/>
          <w:sz w:val="20"/>
          <w:szCs w:val="20"/>
        </w:rPr>
        <w:t>remediation</w:t>
      </w:r>
      <w:r w:rsidR="00817752" w:rsidRPr="00C30CAF">
        <w:rPr>
          <w:rFonts w:ascii="avenir" w:eastAsia="Times New Roman" w:hAnsi="avenir" w:cs="Times New Roman"/>
          <w:color w:val="333333"/>
          <w:sz w:val="20"/>
          <w:szCs w:val="20"/>
        </w:rPr>
        <w:t xml:space="preserve"> method is to</w:t>
      </w:r>
      <w:r w:rsidR="00817752">
        <w:rPr>
          <w:rFonts w:ascii="avenir" w:eastAsia="Times New Roman" w:hAnsi="avenir" w:cs="Times New Roman"/>
          <w:color w:val="333333"/>
          <w:sz w:val="20"/>
          <w:szCs w:val="20"/>
        </w:rPr>
        <w:t xml:space="preserve"> utilize number </w:t>
      </w:r>
      <w:r w:rsidRPr="00651226">
        <w:rPr>
          <w:rFonts w:ascii="avenir" w:eastAsia="Times New Roman" w:hAnsi="avenir" w:cs="Times New Roman"/>
          <w:color w:val="333333"/>
          <w:sz w:val="20"/>
          <w:szCs w:val="20"/>
        </w:rPr>
        <w:t>porting to change the LRN to route numbers to another network, the following</w:t>
      </w:r>
      <w:r w:rsidR="00850FB1">
        <w:rPr>
          <w:rFonts w:ascii="avenir" w:eastAsia="Times New Roman" w:hAnsi="avenir" w:cs="Times New Roman"/>
          <w:color w:val="333333"/>
          <w:sz w:val="20"/>
          <w:szCs w:val="20"/>
        </w:rPr>
        <w:t xml:space="preserve"> Best Practices should be followed</w:t>
      </w:r>
      <w:r w:rsidR="00817752">
        <w:rPr>
          <w:rFonts w:ascii="avenir" w:eastAsia="Times New Roman" w:hAnsi="avenir" w:cs="Times New Roman"/>
          <w:color w:val="333333"/>
          <w:sz w:val="20"/>
          <w:szCs w:val="20"/>
        </w:rPr>
        <w:t>:</w:t>
      </w:r>
    </w:p>
    <w:p w14:paraId="52B0CA9F" w14:textId="5642AE3E" w:rsidR="00D371E1" w:rsidRDefault="00D9644A" w:rsidP="00651226">
      <w:pPr>
        <w:pStyle w:val="ListParagraph"/>
        <w:numPr>
          <w:ilvl w:val="0"/>
          <w:numId w:val="3"/>
        </w:num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>A</w:t>
      </w:r>
      <w:r w:rsidR="00D371E1" w:rsidRPr="00651226">
        <w:rPr>
          <w:rFonts w:ascii="avenir" w:eastAsia="Times New Roman" w:hAnsi="avenir" w:cs="Times New Roman"/>
          <w:color w:val="333333"/>
          <w:sz w:val="20"/>
          <w:szCs w:val="20"/>
        </w:rPr>
        <w:t xml:space="preserve">ffected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S</w:t>
      </w:r>
      <w:r w:rsidR="00D371E1" w:rsidRPr="00651226">
        <w:rPr>
          <w:rFonts w:ascii="avenir" w:eastAsia="Times New Roman" w:hAnsi="avenir" w:cs="Times New Roman"/>
          <w:color w:val="333333"/>
          <w:sz w:val="20"/>
          <w:szCs w:val="20"/>
        </w:rPr>
        <w:t>ervi</w:t>
      </w:r>
      <w:r w:rsidR="00F82D25" w:rsidRPr="00651226">
        <w:rPr>
          <w:rFonts w:ascii="avenir" w:eastAsia="Times New Roman" w:hAnsi="avenir" w:cs="Times New Roman"/>
          <w:color w:val="333333"/>
          <w:sz w:val="20"/>
          <w:szCs w:val="20"/>
        </w:rPr>
        <w:t xml:space="preserve">ce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P</w:t>
      </w:r>
      <w:r w:rsidR="00F82D25" w:rsidRPr="00651226">
        <w:rPr>
          <w:rFonts w:ascii="avenir" w:eastAsia="Times New Roman" w:hAnsi="avenir" w:cs="Times New Roman"/>
          <w:color w:val="333333"/>
          <w:sz w:val="20"/>
          <w:szCs w:val="20"/>
        </w:rPr>
        <w:t>rovider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s</w:t>
      </w:r>
      <w:r w:rsidR="00F82D25" w:rsidRPr="00651226">
        <w:rPr>
          <w:rFonts w:ascii="avenir" w:eastAsia="Times New Roman" w:hAnsi="avenir" w:cs="Times New Roman"/>
          <w:color w:val="333333"/>
          <w:sz w:val="20"/>
          <w:szCs w:val="20"/>
        </w:rPr>
        <w:t xml:space="preserve"> should identify the highest priority customers to port, </w:t>
      </w:r>
      <w:r w:rsidR="000A60B2" w:rsidRPr="00651226">
        <w:rPr>
          <w:rFonts w:ascii="avenir" w:eastAsia="Times New Roman" w:hAnsi="avenir" w:cs="Times New Roman"/>
          <w:color w:val="333333"/>
          <w:sz w:val="20"/>
          <w:szCs w:val="20"/>
        </w:rPr>
        <w:t>e.g.,</w:t>
      </w:r>
      <w:r w:rsidR="00F82D25" w:rsidRPr="00651226">
        <w:rPr>
          <w:rFonts w:ascii="avenir" w:eastAsia="Times New Roman" w:hAnsi="avenir" w:cs="Times New Roman"/>
          <w:color w:val="333333"/>
          <w:sz w:val="20"/>
          <w:szCs w:val="20"/>
        </w:rPr>
        <w:t xml:space="preserve"> law enforcement, hospitals, etc.</w:t>
      </w:r>
    </w:p>
    <w:p w14:paraId="69E775C6" w14:textId="2DEED299" w:rsidR="00953BD3" w:rsidRPr="00651226" w:rsidRDefault="00953BD3" w:rsidP="00651226">
      <w:pPr>
        <w:pStyle w:val="ListParagraph"/>
        <w:numPr>
          <w:ilvl w:val="0"/>
          <w:numId w:val="3"/>
        </w:num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>Follow Best Practice 069 - Large Port Notification</w:t>
      </w:r>
      <w:r w:rsidR="00864DAC">
        <w:rPr>
          <w:rFonts w:ascii="avenir" w:eastAsia="Times New Roman" w:hAnsi="avenir" w:cs="Times New Roman"/>
          <w:color w:val="333333"/>
          <w:sz w:val="20"/>
          <w:szCs w:val="20"/>
        </w:rPr>
        <w:t xml:space="preserve"> by</w:t>
      </w:r>
      <w:r w:rsidR="007F4223">
        <w:rPr>
          <w:rFonts w:ascii="avenir" w:eastAsia="Times New Roman" w:hAnsi="avenir" w:cs="Times New Roman"/>
          <w:color w:val="333333"/>
          <w:sz w:val="20"/>
          <w:szCs w:val="20"/>
        </w:rPr>
        <w:t xml:space="preserve"> working with the NPAC HelpDesk.</w:t>
      </w:r>
    </w:p>
    <w:p w14:paraId="2CC06B6A" w14:textId="51A42269" w:rsidR="00F82D25" w:rsidRDefault="00F82D25" w:rsidP="00651226">
      <w:pPr>
        <w:pStyle w:val="ListParagraph"/>
        <w:numPr>
          <w:ilvl w:val="0"/>
          <w:numId w:val="3"/>
        </w:num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651226">
        <w:rPr>
          <w:rFonts w:ascii="avenir" w:eastAsia="Times New Roman" w:hAnsi="avenir" w:cs="Times New Roman"/>
          <w:color w:val="333333"/>
          <w:sz w:val="20"/>
          <w:szCs w:val="20"/>
        </w:rPr>
        <w:t xml:space="preserve">Porting should be done in a manner that does not impact the entire ecosystem in accordance with the FRS </w:t>
      </w:r>
      <w:r w:rsidR="00953BD3">
        <w:rPr>
          <w:rFonts w:ascii="avenir" w:eastAsia="Times New Roman" w:hAnsi="avenir" w:cs="Times New Roman"/>
          <w:color w:val="333333"/>
          <w:sz w:val="20"/>
          <w:szCs w:val="20"/>
        </w:rPr>
        <w:t>-</w:t>
      </w:r>
      <w:r w:rsidR="00823D4B">
        <w:rPr>
          <w:rFonts w:ascii="avenir" w:eastAsia="Times New Roman" w:hAnsi="avenir" w:cs="Times New Roman"/>
          <w:color w:val="333333"/>
          <w:sz w:val="20"/>
          <w:szCs w:val="20"/>
        </w:rPr>
        <w:t xml:space="preserve">Definition of Rate Requirements and Assumptions </w:t>
      </w:r>
      <w:r w:rsidRPr="00651226">
        <w:rPr>
          <w:rFonts w:ascii="avenir" w:eastAsia="Times New Roman" w:hAnsi="avenir" w:cs="Times New Roman"/>
          <w:color w:val="333333"/>
          <w:sz w:val="20"/>
          <w:szCs w:val="20"/>
        </w:rPr>
        <w:t>(</w:t>
      </w:r>
      <w:r w:rsidR="00823D4B">
        <w:rPr>
          <w:rFonts w:ascii="avenir" w:eastAsia="Times New Roman" w:hAnsi="avenir" w:cs="Times New Roman"/>
          <w:color w:val="333333"/>
          <w:sz w:val="20"/>
          <w:szCs w:val="20"/>
        </w:rPr>
        <w:t>R6-28.1, R6-28.2, RR6-107, RR6-108, RR6-109, AR6-3, AR6.4, AR6-5, AR6-7)</w:t>
      </w:r>
    </w:p>
    <w:p w14:paraId="4CEDEAF9" w14:textId="26F00F29" w:rsidR="00D9644A" w:rsidRPr="00651226" w:rsidRDefault="00D96C00" w:rsidP="00651226">
      <w:pPr>
        <w:pStyle w:val="ListParagraph"/>
        <w:numPr>
          <w:ilvl w:val="0"/>
          <w:numId w:val="3"/>
        </w:num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>Perform</w:t>
      </w:r>
      <w:r w:rsidR="00D9644A">
        <w:rPr>
          <w:rFonts w:ascii="avenir" w:eastAsia="Times New Roman" w:hAnsi="avenir" w:cs="Times New Roman"/>
          <w:color w:val="333333"/>
          <w:sz w:val="20"/>
          <w:szCs w:val="20"/>
        </w:rPr>
        <w:t xml:space="preserve"> necessary diligence to avoid the creation of redundant/duplicate records</w:t>
      </w:r>
      <w:r w:rsidR="00396F19">
        <w:rPr>
          <w:rFonts w:ascii="avenir" w:eastAsia="Times New Roman" w:hAnsi="avenir" w:cs="Times New Roman"/>
          <w:color w:val="333333"/>
          <w:sz w:val="20"/>
          <w:szCs w:val="20"/>
        </w:rPr>
        <w:t xml:space="preserve"> which can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occur </w:t>
      </w:r>
      <w:r w:rsidR="00396F19">
        <w:rPr>
          <w:rFonts w:ascii="avenir" w:eastAsia="Times New Roman" w:hAnsi="avenir" w:cs="Times New Roman"/>
          <w:color w:val="333333"/>
          <w:sz w:val="20"/>
          <w:szCs w:val="20"/>
        </w:rPr>
        <w:t>when SVs are created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in pool blocks</w:t>
      </w:r>
      <w:r w:rsidR="00396F19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r w:rsidR="00817752">
        <w:rPr>
          <w:rFonts w:ascii="avenir" w:eastAsia="Times New Roman" w:hAnsi="avenir" w:cs="Times New Roman"/>
          <w:color w:val="333333"/>
          <w:sz w:val="20"/>
          <w:szCs w:val="20"/>
        </w:rPr>
        <w:t xml:space="preserve">(especially with larger porting activities) </w:t>
      </w:r>
      <w:r w:rsidR="00396F19">
        <w:rPr>
          <w:rFonts w:ascii="avenir" w:eastAsia="Times New Roman" w:hAnsi="avenir" w:cs="Times New Roman"/>
          <w:color w:val="333333"/>
          <w:sz w:val="20"/>
          <w:szCs w:val="20"/>
        </w:rPr>
        <w:t xml:space="preserve">with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identical </w:t>
      </w:r>
      <w:r w:rsidR="00396F19">
        <w:rPr>
          <w:rFonts w:ascii="avenir" w:eastAsia="Times New Roman" w:hAnsi="avenir" w:cs="Times New Roman"/>
          <w:color w:val="333333"/>
          <w:sz w:val="20"/>
          <w:szCs w:val="20"/>
        </w:rPr>
        <w:t>information.</w:t>
      </w:r>
    </w:p>
    <w:p w14:paraId="1BC37379" w14:textId="77777777" w:rsidR="00850667" w:rsidRDefault="005253BD"/>
    <w:sectPr w:rsidR="0085066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6FC6" w14:textId="77777777" w:rsidR="00DC273A" w:rsidRDefault="00DC273A" w:rsidP="008475D1">
      <w:pPr>
        <w:spacing w:after="0" w:line="240" w:lineRule="auto"/>
      </w:pPr>
      <w:r>
        <w:separator/>
      </w:r>
    </w:p>
  </w:endnote>
  <w:endnote w:type="continuationSeparator" w:id="0">
    <w:p w14:paraId="44804672" w14:textId="77777777" w:rsidR="00DC273A" w:rsidRDefault="00DC273A" w:rsidP="0084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Times New Roman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7B42" w14:textId="77777777" w:rsidR="00DC273A" w:rsidRDefault="00DC273A" w:rsidP="008475D1">
      <w:pPr>
        <w:spacing w:after="0" w:line="240" w:lineRule="auto"/>
      </w:pPr>
      <w:r>
        <w:separator/>
      </w:r>
    </w:p>
  </w:footnote>
  <w:footnote w:type="continuationSeparator" w:id="0">
    <w:p w14:paraId="3B9680B5" w14:textId="77777777" w:rsidR="00DC273A" w:rsidRDefault="00DC273A" w:rsidP="0084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3772" w14:textId="245FE9ED" w:rsidR="008475D1" w:rsidRPr="00D539C9" w:rsidRDefault="008475D1" w:rsidP="008475D1">
    <w:pPr>
      <w:spacing w:before="360" w:after="60" w:line="240" w:lineRule="auto"/>
      <w:outlineLvl w:val="1"/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</w:pP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  <w:t>Number Portability Best Practice</w:t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 xml:space="preserve">BP# </w:t>
    </w:r>
    <w:r w:rsidR="00B00D87">
      <w:rPr>
        <w:rFonts w:ascii="avenir" w:eastAsia="Times New Roman" w:hAnsi="avenir" w:cs="Times New Roman"/>
        <w:b/>
        <w:bCs/>
        <w:color w:val="333333"/>
        <w:sz w:val="32"/>
        <w:szCs w:val="28"/>
      </w:rPr>
      <w:t>078</w:t>
    </w:r>
  </w:p>
  <w:p w14:paraId="055E42F1" w14:textId="77777777" w:rsidR="008475D1" w:rsidRDefault="008475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226"/>
    <w:multiLevelType w:val="hybridMultilevel"/>
    <w:tmpl w:val="B98E220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CC7188"/>
    <w:multiLevelType w:val="multilevel"/>
    <w:tmpl w:val="88A6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55702"/>
    <w:multiLevelType w:val="multilevel"/>
    <w:tmpl w:val="3BD6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23E3E"/>
    <w:multiLevelType w:val="multilevel"/>
    <w:tmpl w:val="9DE4E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565BC"/>
    <w:multiLevelType w:val="hybridMultilevel"/>
    <w:tmpl w:val="7826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84FB3"/>
    <w:multiLevelType w:val="multilevel"/>
    <w:tmpl w:val="B9C8DB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8317EAF"/>
    <w:multiLevelType w:val="hybridMultilevel"/>
    <w:tmpl w:val="C65410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C15DA"/>
    <w:multiLevelType w:val="hybridMultilevel"/>
    <w:tmpl w:val="239E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97A66"/>
    <w:multiLevelType w:val="multilevel"/>
    <w:tmpl w:val="91D4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B405B6"/>
    <w:multiLevelType w:val="multilevel"/>
    <w:tmpl w:val="9970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7120E4"/>
    <w:multiLevelType w:val="hybridMultilevel"/>
    <w:tmpl w:val="ED8255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D790E"/>
    <w:multiLevelType w:val="multilevel"/>
    <w:tmpl w:val="ACA612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 w15:restartNumberingAfterBreak="0">
    <w:nsid w:val="747F6D60"/>
    <w:multiLevelType w:val="hybridMultilevel"/>
    <w:tmpl w:val="AC78122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56C7C50"/>
    <w:multiLevelType w:val="hybridMultilevel"/>
    <w:tmpl w:val="CCC084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D2073A"/>
    <w:multiLevelType w:val="hybridMultilevel"/>
    <w:tmpl w:val="CCAEC5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0429F2"/>
    <w:multiLevelType w:val="multilevel"/>
    <w:tmpl w:val="ECD068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407436">
    <w:abstractNumId w:val="9"/>
  </w:num>
  <w:num w:numId="2" w16cid:durableId="280572145">
    <w:abstractNumId w:val="2"/>
  </w:num>
  <w:num w:numId="3" w16cid:durableId="1992982311">
    <w:abstractNumId w:val="7"/>
  </w:num>
  <w:num w:numId="4" w16cid:durableId="999624488">
    <w:abstractNumId w:val="4"/>
  </w:num>
  <w:num w:numId="5" w16cid:durableId="344402320">
    <w:abstractNumId w:val="1"/>
  </w:num>
  <w:num w:numId="6" w16cid:durableId="788015443">
    <w:abstractNumId w:val="5"/>
  </w:num>
  <w:num w:numId="7" w16cid:durableId="1820917894">
    <w:abstractNumId w:val="3"/>
  </w:num>
  <w:num w:numId="8" w16cid:durableId="90336911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951147">
    <w:abstractNumId w:val="8"/>
  </w:num>
  <w:num w:numId="10" w16cid:durableId="2005428982">
    <w:abstractNumId w:val="6"/>
  </w:num>
  <w:num w:numId="11" w16cid:durableId="1495872134">
    <w:abstractNumId w:val="10"/>
  </w:num>
  <w:num w:numId="12" w16cid:durableId="1344699066">
    <w:abstractNumId w:val="14"/>
  </w:num>
  <w:num w:numId="13" w16cid:durableId="1783497764">
    <w:abstractNumId w:val="13"/>
  </w:num>
  <w:num w:numId="14" w16cid:durableId="1154109057">
    <w:abstractNumId w:val="12"/>
  </w:num>
  <w:num w:numId="15" w16cid:durableId="1788356917">
    <w:abstractNumId w:val="0"/>
  </w:num>
  <w:num w:numId="16" w16cid:durableId="3155744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35"/>
    <w:rsid w:val="0002013B"/>
    <w:rsid w:val="000576ED"/>
    <w:rsid w:val="000A60B2"/>
    <w:rsid w:val="000C2A41"/>
    <w:rsid w:val="0014239F"/>
    <w:rsid w:val="001F63CF"/>
    <w:rsid w:val="00280676"/>
    <w:rsid w:val="002874CF"/>
    <w:rsid w:val="002A79E4"/>
    <w:rsid w:val="002D6BC3"/>
    <w:rsid w:val="002E4719"/>
    <w:rsid w:val="003231DA"/>
    <w:rsid w:val="00396F19"/>
    <w:rsid w:val="003A7F15"/>
    <w:rsid w:val="003C495F"/>
    <w:rsid w:val="003E3ACB"/>
    <w:rsid w:val="003F02FC"/>
    <w:rsid w:val="0045368F"/>
    <w:rsid w:val="0048076D"/>
    <w:rsid w:val="00491CF0"/>
    <w:rsid w:val="00504739"/>
    <w:rsid w:val="005253BD"/>
    <w:rsid w:val="005341BE"/>
    <w:rsid w:val="00555E49"/>
    <w:rsid w:val="006055AF"/>
    <w:rsid w:val="00650330"/>
    <w:rsid w:val="00651226"/>
    <w:rsid w:val="00706A9E"/>
    <w:rsid w:val="007A64EE"/>
    <w:rsid w:val="007D6B3C"/>
    <w:rsid w:val="007E1D81"/>
    <w:rsid w:val="007F4223"/>
    <w:rsid w:val="00800665"/>
    <w:rsid w:val="00817752"/>
    <w:rsid w:val="00823D4B"/>
    <w:rsid w:val="008475D1"/>
    <w:rsid w:val="00850FB1"/>
    <w:rsid w:val="0086011C"/>
    <w:rsid w:val="00864DAC"/>
    <w:rsid w:val="008962D0"/>
    <w:rsid w:val="008B2FCF"/>
    <w:rsid w:val="008B5D3E"/>
    <w:rsid w:val="008B6045"/>
    <w:rsid w:val="00953BD3"/>
    <w:rsid w:val="0096520B"/>
    <w:rsid w:val="009825B3"/>
    <w:rsid w:val="009B2710"/>
    <w:rsid w:val="009B3002"/>
    <w:rsid w:val="009C1733"/>
    <w:rsid w:val="009D182E"/>
    <w:rsid w:val="00A11377"/>
    <w:rsid w:val="00A12B6E"/>
    <w:rsid w:val="00A169DC"/>
    <w:rsid w:val="00A3146C"/>
    <w:rsid w:val="00A7293C"/>
    <w:rsid w:val="00AB268C"/>
    <w:rsid w:val="00AC51AB"/>
    <w:rsid w:val="00AD6E4A"/>
    <w:rsid w:val="00AD7154"/>
    <w:rsid w:val="00B00D87"/>
    <w:rsid w:val="00B37835"/>
    <w:rsid w:val="00B47968"/>
    <w:rsid w:val="00B6044D"/>
    <w:rsid w:val="00B646CE"/>
    <w:rsid w:val="00B82ECB"/>
    <w:rsid w:val="00BB7DBB"/>
    <w:rsid w:val="00C30CAF"/>
    <w:rsid w:val="00C472C4"/>
    <w:rsid w:val="00C508EC"/>
    <w:rsid w:val="00CC4768"/>
    <w:rsid w:val="00D14C1A"/>
    <w:rsid w:val="00D371E1"/>
    <w:rsid w:val="00D46F7E"/>
    <w:rsid w:val="00D9644A"/>
    <w:rsid w:val="00D96C00"/>
    <w:rsid w:val="00DC2629"/>
    <w:rsid w:val="00DC273A"/>
    <w:rsid w:val="00DD2196"/>
    <w:rsid w:val="00E54BB7"/>
    <w:rsid w:val="00EA2B16"/>
    <w:rsid w:val="00EC1663"/>
    <w:rsid w:val="00EF4A66"/>
    <w:rsid w:val="00F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479215"/>
  <w15:chartTrackingRefBased/>
  <w15:docId w15:val="{615C5E99-4135-42EA-815C-0FB4B103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7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378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78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378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78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7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5D1"/>
  </w:style>
  <w:style w:type="paragraph" w:styleId="Footer">
    <w:name w:val="footer"/>
    <w:basedOn w:val="Normal"/>
    <w:link w:val="FooterChar"/>
    <w:uiPriority w:val="99"/>
    <w:unhideWhenUsed/>
    <w:rsid w:val="00847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5D1"/>
  </w:style>
  <w:style w:type="paragraph" w:styleId="Revision">
    <w:name w:val="Revision"/>
    <w:hidden/>
    <w:uiPriority w:val="99"/>
    <w:semiHidden/>
    <w:rsid w:val="009C17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2D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7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9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9E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60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inggroup.numberportability.com/documents/6584/0069_Large_Port_Notifications_v3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orkinggroup.numberportability.com/documents/8258/PIM_142_-_DDoS_Attack_1.docx" TargetMode="External"/><Relationship Id="rId12" Type="http://schemas.openxmlformats.org/officeDocument/2006/relationships/hyperlink" Target="https://nam10.safelinks.protection.outlook.com/?url=https%3A%2F%2Fwww.cyber.nj.gov%2Fthis-is-security%2Fddos-attack-types-and-mitigation-strategies&amp;data=05%7C01%7Cmdoherty%40iconectiv.com%7Ce9c78fcc54994f99c87e08da7a191cf1%7C69c8e407b674422eb87b0e5394e0005e%7C1%7C0%7C637956545520135391%7CUnknown%7CTWFpbGZsb3d8eyJWIjoiMC4wLjAwMDAiLCJQIjoiV2luMzIiLCJBTiI6Ik1haWwiLCJXVCI6Mn0%3D%7C3000%7C%7C%7C&amp;sdata=xbcnV%2B%2FPSPTf9WXJbRbeVsKawvSs60UpqNkG4liQ2Hw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.xls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numberportability.com/documents/8198/FRS_R5.1_02-06-202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3</cp:revision>
  <dcterms:created xsi:type="dcterms:W3CDTF">2022-10-03T15:37:00Z</dcterms:created>
  <dcterms:modified xsi:type="dcterms:W3CDTF">2022-10-03T19:10:00Z</dcterms:modified>
</cp:coreProperties>
</file>