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8CA9" w14:textId="6B5B4892" w:rsidR="00F72B6E" w:rsidRDefault="007966A3" w:rsidP="007966A3">
      <w:pPr>
        <w:jc w:val="center"/>
        <w:rPr>
          <w:rFonts w:cstheme="minorHAnsi"/>
          <w:b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>NPIF</w:t>
      </w:r>
      <w:r w:rsidR="00F72B6E">
        <w:rPr>
          <w:rFonts w:cstheme="minorHAnsi"/>
          <w:b/>
          <w:sz w:val="36"/>
          <w:szCs w:val="32"/>
        </w:rPr>
        <w:t xml:space="preserve"> – </w:t>
      </w:r>
      <w:r w:rsidR="00AD0DAB">
        <w:rPr>
          <w:rFonts w:cstheme="minorHAnsi"/>
          <w:b/>
          <w:i/>
          <w:iCs/>
          <w:sz w:val="36"/>
          <w:szCs w:val="32"/>
        </w:rPr>
        <w:t>Giddy Up Sub Team</w:t>
      </w:r>
    </w:p>
    <w:p w14:paraId="0476D279" w14:textId="3113D545" w:rsidR="007966A3" w:rsidRPr="005F1A73" w:rsidRDefault="007966A3" w:rsidP="007966A3">
      <w:pPr>
        <w:jc w:val="center"/>
        <w:rPr>
          <w:rFonts w:cstheme="minorHAnsi"/>
          <w:bCs/>
          <w:sz w:val="36"/>
          <w:szCs w:val="32"/>
        </w:rPr>
      </w:pPr>
      <w:r w:rsidRPr="00D70E2E">
        <w:rPr>
          <w:rFonts w:cstheme="minorHAnsi"/>
          <w:b/>
          <w:sz w:val="36"/>
          <w:szCs w:val="32"/>
        </w:rPr>
        <w:t xml:space="preserve"> </w:t>
      </w:r>
      <w:r w:rsidRPr="005F1A73">
        <w:rPr>
          <w:rFonts w:cstheme="minorHAnsi"/>
          <w:bCs/>
          <w:sz w:val="36"/>
          <w:szCs w:val="32"/>
        </w:rPr>
        <w:t>Meeting Notes</w:t>
      </w:r>
    </w:p>
    <w:p w14:paraId="6ED11330" w14:textId="45D9CBC4" w:rsidR="007966A3" w:rsidRPr="00095622" w:rsidRDefault="00F72B6E" w:rsidP="007966A3">
      <w:pPr>
        <w:pStyle w:val="Heading4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Friday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, </w:t>
      </w:r>
      <w:r w:rsidR="00BE39EB">
        <w:rPr>
          <w:rFonts w:asciiTheme="minorHAnsi" w:hAnsiTheme="minorHAnsi" w:cstheme="minorHAnsi"/>
          <w:sz w:val="28"/>
          <w:szCs w:val="28"/>
        </w:rPr>
        <w:t xml:space="preserve">June </w:t>
      </w:r>
      <w:r w:rsidR="006D05E1">
        <w:rPr>
          <w:rFonts w:asciiTheme="minorHAnsi" w:hAnsiTheme="minorHAnsi" w:cstheme="minorHAnsi"/>
          <w:sz w:val="28"/>
          <w:szCs w:val="28"/>
        </w:rPr>
        <w:t>11</w:t>
      </w:r>
      <w:r w:rsidR="007966A3" w:rsidRPr="00095622">
        <w:rPr>
          <w:rFonts w:asciiTheme="minorHAnsi" w:hAnsiTheme="minorHAnsi" w:cstheme="minorHAnsi"/>
          <w:sz w:val="28"/>
          <w:szCs w:val="28"/>
        </w:rPr>
        <w:t>, 202</w:t>
      </w:r>
      <w:r w:rsidR="007966A3">
        <w:rPr>
          <w:rFonts w:asciiTheme="minorHAnsi" w:hAnsiTheme="minorHAnsi" w:cstheme="minorHAnsi"/>
          <w:sz w:val="28"/>
          <w:szCs w:val="28"/>
        </w:rPr>
        <w:t>1</w:t>
      </w:r>
      <w:r w:rsidR="007966A3" w:rsidRPr="00095622">
        <w:rPr>
          <w:rFonts w:asciiTheme="minorHAnsi" w:hAnsiTheme="minorHAnsi" w:cstheme="minorHAnsi"/>
          <w:sz w:val="28"/>
          <w:szCs w:val="28"/>
        </w:rPr>
        <w:t xml:space="preserve">   11:00 AM – </w:t>
      </w:r>
      <w:r w:rsidR="00924A60">
        <w:rPr>
          <w:rFonts w:asciiTheme="minorHAnsi" w:hAnsiTheme="minorHAnsi" w:cstheme="minorHAnsi"/>
          <w:sz w:val="28"/>
          <w:szCs w:val="28"/>
        </w:rPr>
        <w:t>12:00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7966A3" w:rsidRPr="00095622">
        <w:rPr>
          <w:rFonts w:asciiTheme="minorHAnsi" w:hAnsiTheme="minorHAnsi" w:cstheme="minorHAnsi"/>
          <w:sz w:val="28"/>
          <w:szCs w:val="28"/>
        </w:rPr>
        <w:t>PM (Eastern Time Zone)</w:t>
      </w:r>
    </w:p>
    <w:p w14:paraId="3457F38D" w14:textId="77777777" w:rsidR="007059D8" w:rsidRDefault="007059D8" w:rsidP="007059D8">
      <w:pPr>
        <w:spacing w:after="0"/>
        <w:jc w:val="center"/>
        <w:rPr>
          <w:rFonts w:cs="Arial"/>
          <w:bCs/>
          <w:sz w:val="28"/>
          <w:szCs w:val="28"/>
          <w:u w:val="double"/>
        </w:rPr>
      </w:pPr>
    </w:p>
    <w:p w14:paraId="55B70E31" w14:textId="561D1268" w:rsidR="007059D8" w:rsidRPr="007059D8" w:rsidRDefault="007059D8" w:rsidP="007059D8">
      <w:pPr>
        <w:spacing w:after="0"/>
        <w:jc w:val="center"/>
        <w:rPr>
          <w:rFonts w:cs="Arial"/>
          <w:b/>
          <w:sz w:val="24"/>
          <w:szCs w:val="24"/>
          <w:u w:val="thick"/>
        </w:rPr>
      </w:pPr>
      <w:r w:rsidRPr="007059D8">
        <w:rPr>
          <w:rFonts w:cs="Arial"/>
          <w:b/>
          <w:sz w:val="24"/>
          <w:szCs w:val="24"/>
          <w:u w:val="thick"/>
        </w:rPr>
        <w:t>Chairpersons:</w:t>
      </w:r>
    </w:p>
    <w:p w14:paraId="55442B13" w14:textId="0E9B1701" w:rsidR="007059D8" w:rsidRPr="007059D8" w:rsidRDefault="007059D8" w:rsidP="007059D8">
      <w:pPr>
        <w:spacing w:after="0"/>
        <w:jc w:val="center"/>
        <w:rPr>
          <w:rFonts w:cs="Arial"/>
          <w:bCs/>
          <w:i/>
          <w:iCs/>
        </w:rPr>
      </w:pPr>
      <w:r w:rsidRPr="007059D8">
        <w:rPr>
          <w:rFonts w:cs="Arial"/>
          <w:bCs/>
          <w:i/>
          <w:iCs/>
        </w:rPr>
        <w:t>Cheryl Fullerton (Inteliquent), Annalyce Grogan (Bandwidth), Joy McConnell-Couch (CenturyLink/Lumen)</w:t>
      </w:r>
    </w:p>
    <w:p w14:paraId="568B6C92" w14:textId="77777777" w:rsidR="007059D8" w:rsidRDefault="007059D8" w:rsidP="007966A3">
      <w:pPr>
        <w:jc w:val="center"/>
        <w:rPr>
          <w:rFonts w:cs="Arial"/>
          <w:b/>
          <w:sz w:val="28"/>
          <w:szCs w:val="28"/>
        </w:rPr>
      </w:pPr>
    </w:p>
    <w:p w14:paraId="778644A3" w14:textId="171E65FA" w:rsidR="007966A3" w:rsidRDefault="007966A3" w:rsidP="007966A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Meeting Attendance</w:t>
      </w:r>
      <w:r w:rsidR="00247121">
        <w:rPr>
          <w:rFonts w:cs="Arial"/>
          <w:b/>
          <w:sz w:val="28"/>
          <w:szCs w:val="28"/>
        </w:rPr>
        <w:t xml:space="preserve"> </w:t>
      </w:r>
      <w:r w:rsidR="00247121" w:rsidRPr="00247121">
        <w:rPr>
          <w:rFonts w:cs="Arial"/>
          <w:bCs/>
          <w:i/>
          <w:iCs/>
          <w:sz w:val="24"/>
          <w:szCs w:val="24"/>
        </w:rPr>
        <w:t xml:space="preserve">– </w:t>
      </w:r>
      <w:r w:rsidR="00C5599F">
        <w:rPr>
          <w:rFonts w:cs="Arial"/>
          <w:bCs/>
          <w:i/>
          <w:iCs/>
          <w:sz w:val="24"/>
          <w:szCs w:val="24"/>
        </w:rPr>
        <w:t>21</w:t>
      </w:r>
      <w:r w:rsidR="00247121" w:rsidRPr="00247121">
        <w:rPr>
          <w:rFonts w:cs="Arial"/>
          <w:bCs/>
          <w:i/>
          <w:iCs/>
          <w:sz w:val="24"/>
          <w:szCs w:val="24"/>
        </w:rPr>
        <w:t xml:space="preserve"> Participants</w:t>
      </w:r>
    </w:p>
    <w:tbl>
      <w:tblPr>
        <w:tblW w:w="9675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30" w:type="dxa"/>
          <w:right w:w="30" w:type="dxa"/>
        </w:tblCellMar>
        <w:tblLook w:val="0040" w:firstRow="0" w:lastRow="1" w:firstColumn="0" w:lastColumn="0" w:noHBand="0" w:noVBand="0"/>
      </w:tblPr>
      <w:tblGrid>
        <w:gridCol w:w="2289"/>
        <w:gridCol w:w="2206"/>
        <w:gridCol w:w="2517"/>
        <w:gridCol w:w="2663"/>
      </w:tblGrid>
      <w:tr w:rsidR="007966A3" w14:paraId="63F9CEA8" w14:textId="77777777" w:rsidTr="00E04114">
        <w:trPr>
          <w:trHeight w:val="408"/>
          <w:tblHeader/>
          <w:jc w:val="center"/>
        </w:trPr>
        <w:tc>
          <w:tcPr>
            <w:tcW w:w="228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5041ABF" w14:textId="77777777" w:rsidR="007966A3" w:rsidRDefault="007966A3" w:rsidP="0037232E">
            <w:pPr>
              <w:rPr>
                <w:b/>
                <w:color w:val="FFFFFF"/>
                <w:highlight w:val="yellow"/>
              </w:rPr>
            </w:pPr>
            <w:r>
              <w:rPr>
                <w:rFonts w:cstheme="minorHAnsi"/>
                <w:b/>
                <w:sz w:val="28"/>
                <w:szCs w:val="28"/>
              </w:rPr>
              <w:br w:type="page"/>
            </w:r>
            <w:r>
              <w:rPr>
                <w:b/>
                <w:color w:val="FFFFFF"/>
              </w:rPr>
              <w:t>Name</w:t>
            </w:r>
          </w:p>
        </w:tc>
        <w:tc>
          <w:tcPr>
            <w:tcW w:w="220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39830334" w14:textId="77777777" w:rsidR="007966A3" w:rsidRDefault="007966A3" w:rsidP="0037232E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Company</w:t>
            </w:r>
          </w:p>
        </w:tc>
        <w:tc>
          <w:tcPr>
            <w:tcW w:w="251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721EB86E" w14:textId="77777777" w:rsidR="007966A3" w:rsidRDefault="007966A3" w:rsidP="0037232E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Name</w:t>
            </w:r>
          </w:p>
        </w:tc>
        <w:tc>
          <w:tcPr>
            <w:tcW w:w="266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14:paraId="1F964C4C" w14:textId="77777777" w:rsidR="007966A3" w:rsidRDefault="007966A3" w:rsidP="0037232E">
            <w:pPr>
              <w:contextualSpacing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Company</w:t>
            </w:r>
          </w:p>
        </w:tc>
      </w:tr>
      <w:tr w:rsidR="00AA35D9" w:rsidRPr="00B325AF" w14:paraId="2EB6E228" w14:textId="77777777" w:rsidTr="00C5599F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0179F514" w14:textId="1C961D4C" w:rsidR="00AA35D9" w:rsidRPr="00AA35D9" w:rsidRDefault="00AA35D9" w:rsidP="00AA35D9">
            <w:pPr>
              <w:rPr>
                <w:color w:val="000000"/>
              </w:rPr>
            </w:pPr>
            <w:r w:rsidRPr="00AA35D9">
              <w:rPr>
                <w:color w:val="000000"/>
              </w:rPr>
              <w:t>John Nakamura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3EBB9EE9" w14:textId="45EEB7D6" w:rsidR="00AA35D9" w:rsidRPr="00AA35D9" w:rsidRDefault="00AA35D9" w:rsidP="00AA35D9">
            <w:pPr>
              <w:rPr>
                <w:color w:val="000000"/>
              </w:rPr>
            </w:pPr>
            <w:r w:rsidRPr="00AA35D9">
              <w:rPr>
                <w:color w:val="000000"/>
              </w:rPr>
              <w:t>10xpeople</w:t>
            </w:r>
          </w:p>
        </w:tc>
        <w:tc>
          <w:tcPr>
            <w:tcW w:w="2517" w:type="dxa"/>
            <w:tcBorders>
              <w:top w:val="single" w:sz="6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bottom"/>
          </w:tcPr>
          <w:p w14:paraId="3ECC35A6" w14:textId="2C8C9914" w:rsidR="00AA35D9" w:rsidRPr="00AA35D9" w:rsidRDefault="00AA35D9" w:rsidP="00AA35D9">
            <w:pPr>
              <w:rPr>
                <w:color w:val="000000"/>
              </w:rPr>
            </w:pPr>
            <w:r w:rsidRPr="00AA35D9">
              <w:rPr>
                <w:color w:val="000000"/>
              </w:rPr>
              <w:t xml:space="preserve">Michael Doherty </w:t>
            </w:r>
          </w:p>
        </w:tc>
        <w:tc>
          <w:tcPr>
            <w:tcW w:w="2663" w:type="dxa"/>
            <w:tcBorders>
              <w:top w:val="single" w:sz="6" w:space="0" w:color="000080"/>
              <w:left w:val="nil"/>
              <w:bottom w:val="single" w:sz="4" w:space="0" w:color="auto"/>
              <w:right w:val="single" w:sz="8" w:space="0" w:color="000080"/>
            </w:tcBorders>
            <w:vAlign w:val="bottom"/>
          </w:tcPr>
          <w:p w14:paraId="3B3300EA" w14:textId="49799302" w:rsidR="00AA35D9" w:rsidRPr="00B325AF" w:rsidRDefault="00AA35D9" w:rsidP="00AA35D9">
            <w:pPr>
              <w:rPr>
                <w:color w:val="000000"/>
              </w:rPr>
            </w:pPr>
            <w:r w:rsidRPr="00B325AF">
              <w:rPr>
                <w:color w:val="000000"/>
              </w:rPr>
              <w:t xml:space="preserve">iconectiv </w:t>
            </w:r>
          </w:p>
        </w:tc>
      </w:tr>
      <w:tr w:rsidR="00AA35D9" w:rsidRPr="00B325AF" w14:paraId="0DA7C191" w14:textId="77777777" w:rsidTr="000A6056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62C25936" w14:textId="720F74AA" w:rsidR="00AA35D9" w:rsidRPr="00AA35D9" w:rsidRDefault="00AA35D9" w:rsidP="00AA35D9">
            <w:pPr>
              <w:rPr>
                <w:color w:val="000000"/>
              </w:rPr>
            </w:pPr>
            <w:r w:rsidRPr="00AA35D9">
              <w:rPr>
                <w:color w:val="000000"/>
              </w:rPr>
              <w:t>Renee Dillon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54E55165" w14:textId="55FB9B7D" w:rsidR="00AA35D9" w:rsidRPr="00AA35D9" w:rsidRDefault="00AA35D9" w:rsidP="00AA35D9">
            <w:pPr>
              <w:rPr>
                <w:color w:val="000000"/>
              </w:rPr>
            </w:pPr>
            <w:r w:rsidRPr="00AA35D9">
              <w:rPr>
                <w:color w:val="000000"/>
              </w:rPr>
              <w:t xml:space="preserve">AT&amp;T </w:t>
            </w:r>
          </w:p>
        </w:tc>
        <w:tc>
          <w:tcPr>
            <w:tcW w:w="2517" w:type="dxa"/>
            <w:tcBorders>
              <w:top w:val="single" w:sz="6" w:space="0" w:color="000080"/>
              <w:left w:val="single" w:sz="8" w:space="0" w:color="000080"/>
              <w:bottom w:val="single" w:sz="4" w:space="0" w:color="auto"/>
              <w:right w:val="single" w:sz="8" w:space="0" w:color="000080"/>
            </w:tcBorders>
            <w:vAlign w:val="bottom"/>
          </w:tcPr>
          <w:p w14:paraId="7C70754A" w14:textId="67D33928" w:rsidR="00AA35D9" w:rsidRPr="00AA35D9" w:rsidRDefault="00AA35D9" w:rsidP="00AA35D9">
            <w:pPr>
              <w:rPr>
                <w:color w:val="000000"/>
              </w:rPr>
            </w:pPr>
            <w:r w:rsidRPr="00AA35D9">
              <w:rPr>
                <w:color w:val="000000"/>
              </w:rPr>
              <w:t>Steve Koch</w:t>
            </w:r>
          </w:p>
        </w:tc>
        <w:tc>
          <w:tcPr>
            <w:tcW w:w="2663" w:type="dxa"/>
            <w:tcBorders>
              <w:top w:val="single" w:sz="6" w:space="0" w:color="000080"/>
              <w:left w:val="nil"/>
              <w:bottom w:val="single" w:sz="4" w:space="0" w:color="auto"/>
              <w:right w:val="single" w:sz="8" w:space="0" w:color="000080"/>
            </w:tcBorders>
            <w:vAlign w:val="bottom"/>
          </w:tcPr>
          <w:p w14:paraId="0150A3C7" w14:textId="2D44A75F" w:rsidR="00AA35D9" w:rsidRPr="00B325AF" w:rsidRDefault="00AA35D9" w:rsidP="00AA35D9">
            <w:pPr>
              <w:rPr>
                <w:color w:val="000000"/>
              </w:rPr>
            </w:pPr>
            <w:r w:rsidRPr="00B325AF">
              <w:rPr>
                <w:color w:val="000000"/>
              </w:rPr>
              <w:t xml:space="preserve">iconectiv </w:t>
            </w:r>
          </w:p>
        </w:tc>
      </w:tr>
      <w:tr w:rsidR="00AA35D9" w:rsidRPr="00B325AF" w14:paraId="5B526AC0" w14:textId="77777777" w:rsidTr="003A55F0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390EE782" w14:textId="0E986052" w:rsidR="00AA35D9" w:rsidRPr="00AA35D9" w:rsidRDefault="00AA35D9" w:rsidP="00AA35D9">
            <w:pPr>
              <w:rPr>
                <w:color w:val="000000"/>
              </w:rPr>
            </w:pPr>
            <w:r w:rsidRPr="00AA35D9">
              <w:rPr>
                <w:color w:val="000000"/>
              </w:rPr>
              <w:t>Larry Turner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BD42AF0" w14:textId="06B3F180" w:rsidR="00AA35D9" w:rsidRPr="00AA35D9" w:rsidRDefault="00AA35D9" w:rsidP="00AA35D9">
            <w:pPr>
              <w:rPr>
                <w:color w:val="000000"/>
              </w:rPr>
            </w:pPr>
            <w:r w:rsidRPr="00AA35D9">
              <w:rPr>
                <w:color w:val="000000"/>
              </w:rPr>
              <w:t>AT&amp;T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65800251" w14:textId="3DD5BA4F" w:rsidR="00AA35D9" w:rsidRPr="00AA35D9" w:rsidRDefault="00AA35D9" w:rsidP="00AA35D9">
            <w:pPr>
              <w:rPr>
                <w:color w:val="000000"/>
              </w:rPr>
            </w:pPr>
            <w:r w:rsidRPr="00AA35D9">
              <w:rPr>
                <w:color w:val="000000"/>
              </w:rPr>
              <w:t>Deb Lasher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7AE5C20D" w14:textId="4B593786" w:rsidR="00AA35D9" w:rsidRPr="00B325AF" w:rsidRDefault="00AA35D9" w:rsidP="00AA35D9">
            <w:pPr>
              <w:rPr>
                <w:color w:val="000000"/>
              </w:rPr>
            </w:pPr>
            <w:r w:rsidRPr="00B325AF">
              <w:rPr>
                <w:color w:val="000000"/>
              </w:rPr>
              <w:t xml:space="preserve">iconectiv </w:t>
            </w:r>
          </w:p>
        </w:tc>
      </w:tr>
      <w:tr w:rsidR="00AA35D9" w:rsidRPr="00B325AF" w14:paraId="006AF2DF" w14:textId="77777777" w:rsidTr="00881172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03D635AC" w14:textId="6B136739" w:rsidR="00AA35D9" w:rsidRPr="00AA35D9" w:rsidRDefault="00AA35D9" w:rsidP="00AA35D9">
            <w:pPr>
              <w:rPr>
                <w:color w:val="000000"/>
              </w:rPr>
            </w:pPr>
            <w:r w:rsidRPr="00AA35D9">
              <w:rPr>
                <w:color w:val="000000"/>
              </w:rPr>
              <w:t>Jeffrey Herl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4BD5CCDE" w14:textId="626BF2C3" w:rsidR="00AA35D9" w:rsidRPr="00AA35D9" w:rsidRDefault="00AA35D9" w:rsidP="00AA35D9">
            <w:pPr>
              <w:rPr>
                <w:color w:val="000000"/>
              </w:rPr>
            </w:pPr>
            <w:r w:rsidRPr="00AA35D9">
              <w:rPr>
                <w:color w:val="000000"/>
              </w:rPr>
              <w:t>AT&amp;T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64214221" w14:textId="38B3ECD1" w:rsidR="00AA35D9" w:rsidRPr="00AA35D9" w:rsidRDefault="00AA35D9" w:rsidP="00AA35D9">
            <w:pPr>
              <w:rPr>
                <w:color w:val="000000"/>
              </w:rPr>
            </w:pPr>
            <w:r w:rsidRPr="00AA35D9">
              <w:rPr>
                <w:color w:val="000000"/>
              </w:rPr>
              <w:t>Doug Babcock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6AF2D1E3" w14:textId="6990DF4C" w:rsidR="00AA35D9" w:rsidRPr="00B325AF" w:rsidRDefault="00AA35D9" w:rsidP="00AA35D9">
            <w:pPr>
              <w:rPr>
                <w:color w:val="000000"/>
              </w:rPr>
            </w:pPr>
            <w:r w:rsidRPr="00B325AF">
              <w:rPr>
                <w:color w:val="000000"/>
              </w:rPr>
              <w:t xml:space="preserve">iconectiv </w:t>
            </w:r>
          </w:p>
        </w:tc>
      </w:tr>
      <w:tr w:rsidR="00AA35D9" w:rsidRPr="00B325AF" w14:paraId="234EC85E" w14:textId="77777777" w:rsidTr="00A76DAE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21F3FCCD" w14:textId="6D966BF2" w:rsidR="00AA35D9" w:rsidRPr="00AA35D9" w:rsidRDefault="00AA35D9" w:rsidP="00AA35D9">
            <w:pPr>
              <w:rPr>
                <w:color w:val="000000"/>
              </w:rPr>
            </w:pPr>
            <w:r w:rsidRPr="00AA35D9">
              <w:rPr>
                <w:color w:val="000000"/>
              </w:rPr>
              <w:t>Stephen Anderson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28360943" w14:textId="3EB82537" w:rsidR="00AA35D9" w:rsidRPr="00AA35D9" w:rsidRDefault="00AA35D9" w:rsidP="00AA35D9">
            <w:pPr>
              <w:rPr>
                <w:color w:val="000000"/>
              </w:rPr>
            </w:pPr>
            <w:r w:rsidRPr="00AA35D9">
              <w:rPr>
                <w:color w:val="000000"/>
              </w:rPr>
              <w:t>AT&amp;T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3C0E0494" w14:textId="0B630789" w:rsidR="00AA35D9" w:rsidRPr="00AA35D9" w:rsidRDefault="00AA35D9" w:rsidP="00AA35D9">
            <w:pPr>
              <w:rPr>
                <w:color w:val="000000"/>
              </w:rPr>
            </w:pPr>
            <w:r w:rsidRPr="00AA35D9">
              <w:rPr>
                <w:color w:val="000000"/>
              </w:rPr>
              <w:t>Renee Berkowitz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0D26A90" w14:textId="138E4AFA" w:rsidR="00AA35D9" w:rsidRPr="00B325AF" w:rsidRDefault="00AA35D9" w:rsidP="00AA35D9">
            <w:pPr>
              <w:rPr>
                <w:color w:val="000000"/>
              </w:rPr>
            </w:pPr>
            <w:r>
              <w:rPr>
                <w:color w:val="000000"/>
              </w:rPr>
              <w:t>iconectiv</w:t>
            </w:r>
          </w:p>
        </w:tc>
      </w:tr>
      <w:tr w:rsidR="00AA35D9" w:rsidRPr="00B325AF" w14:paraId="35743CEA" w14:textId="77777777" w:rsidTr="00F8249D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0697E84" w14:textId="561F74AF" w:rsidR="00AA35D9" w:rsidRPr="00AA35D9" w:rsidRDefault="00AA35D9" w:rsidP="00AA35D9">
            <w:pPr>
              <w:rPr>
                <w:color w:val="000000"/>
              </w:rPr>
            </w:pPr>
            <w:r w:rsidRPr="00AA35D9">
              <w:rPr>
                <w:color w:val="000000"/>
              </w:rPr>
              <w:t>Sara Cleland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A274E0F" w14:textId="0FCC3099" w:rsidR="00AA35D9" w:rsidRPr="00AA35D9" w:rsidRDefault="00AA35D9" w:rsidP="00AA35D9">
            <w:pPr>
              <w:rPr>
                <w:color w:val="000000"/>
              </w:rPr>
            </w:pPr>
            <w:r w:rsidRPr="00AA35D9">
              <w:rPr>
                <w:color w:val="000000"/>
              </w:rPr>
              <w:t xml:space="preserve">ATL 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0EA44D8" w14:textId="5CBD6313" w:rsidR="00AA35D9" w:rsidRPr="00AA35D9" w:rsidRDefault="00AA35D9" w:rsidP="00AA35D9">
            <w:pPr>
              <w:rPr>
                <w:color w:val="000000"/>
              </w:rPr>
            </w:pPr>
            <w:r w:rsidRPr="00AA35D9">
              <w:rPr>
                <w:color w:val="000000"/>
              </w:rPr>
              <w:t>Jim Kientz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565FD4D1" w14:textId="688EB8A6" w:rsidR="00AA35D9" w:rsidRPr="00B325AF" w:rsidRDefault="00AA35D9" w:rsidP="00AA35D9">
            <w:r w:rsidRPr="00B325AF">
              <w:rPr>
                <w:color w:val="000000"/>
              </w:rPr>
              <w:t xml:space="preserve">Neustar </w:t>
            </w:r>
          </w:p>
        </w:tc>
      </w:tr>
      <w:tr w:rsidR="00AA35D9" w:rsidRPr="00B325AF" w14:paraId="110C68BA" w14:textId="77777777" w:rsidTr="00360373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7CE915A4" w14:textId="100095FE" w:rsidR="00AA35D9" w:rsidRPr="00AA35D9" w:rsidRDefault="00AA35D9" w:rsidP="00AA35D9">
            <w:pPr>
              <w:rPr>
                <w:color w:val="000000"/>
              </w:rPr>
            </w:pPr>
            <w:r w:rsidRPr="00AA35D9">
              <w:rPr>
                <w:color w:val="000000"/>
              </w:rPr>
              <w:t>Annalyce Grogan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14F024F9" w14:textId="0186FCBB" w:rsidR="00AA35D9" w:rsidRPr="00AA35D9" w:rsidRDefault="00AA35D9" w:rsidP="00AA35D9">
            <w:pPr>
              <w:rPr>
                <w:color w:val="000000"/>
              </w:rPr>
            </w:pPr>
            <w:r w:rsidRPr="00AA35D9">
              <w:rPr>
                <w:color w:val="000000"/>
              </w:rPr>
              <w:t xml:space="preserve">Bandwidth 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5BC7299D" w14:textId="0AC1C4C2" w:rsidR="00AA35D9" w:rsidRPr="00AA35D9" w:rsidRDefault="00AA35D9" w:rsidP="00AA35D9">
            <w:pPr>
              <w:rPr>
                <w:color w:val="000000"/>
              </w:rPr>
            </w:pPr>
            <w:r w:rsidRPr="00AA35D9">
              <w:rPr>
                <w:color w:val="000000"/>
              </w:rPr>
              <w:t>Deborah Tucker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02945EFB" w14:textId="46A5F5C2" w:rsidR="00AA35D9" w:rsidRPr="00B325AF" w:rsidRDefault="00AA35D9" w:rsidP="00AA35D9">
            <w:pPr>
              <w:rPr>
                <w:color w:val="000000"/>
              </w:rPr>
            </w:pPr>
            <w:r w:rsidRPr="00B325AF">
              <w:rPr>
                <w:color w:val="000000"/>
              </w:rPr>
              <w:t xml:space="preserve">Verizon Wireless </w:t>
            </w:r>
          </w:p>
        </w:tc>
      </w:tr>
      <w:tr w:rsidR="00AA35D9" w:rsidRPr="00B325AF" w14:paraId="48E7AC24" w14:textId="77777777" w:rsidTr="00360373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3D4D73BE" w14:textId="329A420A" w:rsidR="00AA35D9" w:rsidRPr="00AA35D9" w:rsidRDefault="00AA35D9" w:rsidP="00AA35D9">
            <w:pPr>
              <w:rPr>
                <w:color w:val="000000"/>
              </w:rPr>
            </w:pPr>
            <w:r w:rsidRPr="00AA35D9">
              <w:rPr>
                <w:color w:val="000000"/>
              </w:rPr>
              <w:t>Joy McConnell-Couch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5F5E04E2" w14:textId="62E444A3" w:rsidR="00AA35D9" w:rsidRPr="00AA35D9" w:rsidRDefault="00AA35D9" w:rsidP="00AA35D9">
            <w:pPr>
              <w:rPr>
                <w:color w:val="000000"/>
              </w:rPr>
            </w:pPr>
            <w:r w:rsidRPr="00AA35D9">
              <w:rPr>
                <w:color w:val="000000"/>
              </w:rPr>
              <w:t xml:space="preserve">CTL/Lumen 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34EE292B" w14:textId="4162BBDC" w:rsidR="00AA35D9" w:rsidRPr="00AA35D9" w:rsidRDefault="00AA35D9" w:rsidP="00AA35D9">
            <w:pPr>
              <w:rPr>
                <w:color w:val="000000"/>
              </w:rPr>
            </w:pPr>
            <w:r w:rsidRPr="00AA35D9">
              <w:rPr>
                <w:color w:val="000000"/>
              </w:rPr>
              <w:t>Bale Pathman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2FAE3302" w14:textId="03CDC2B7" w:rsidR="00AA35D9" w:rsidRPr="00B325AF" w:rsidRDefault="00AA35D9" w:rsidP="00AA35D9">
            <w:pPr>
              <w:rPr>
                <w:color w:val="000000"/>
              </w:rPr>
            </w:pPr>
            <w:r>
              <w:rPr>
                <w:color w:val="000000"/>
              </w:rPr>
              <w:t>Verizon Wireless</w:t>
            </w:r>
          </w:p>
        </w:tc>
      </w:tr>
      <w:tr w:rsidR="00AA35D9" w:rsidRPr="00B325AF" w14:paraId="24FCB0A4" w14:textId="77777777" w:rsidTr="00360373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694A7483" w14:textId="6A29FFBC" w:rsidR="00AA35D9" w:rsidRPr="00AA35D9" w:rsidRDefault="00AA35D9" w:rsidP="00AA35D9">
            <w:pPr>
              <w:rPr>
                <w:color w:val="000000"/>
              </w:rPr>
            </w:pPr>
            <w:r w:rsidRPr="00AA35D9">
              <w:rPr>
                <w:color w:val="000000"/>
              </w:rPr>
              <w:t>Ken Bade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6864C5CA" w14:textId="6844C1A3" w:rsidR="00AA35D9" w:rsidRPr="00AA35D9" w:rsidRDefault="00AA35D9" w:rsidP="00AA35D9">
            <w:pPr>
              <w:rPr>
                <w:color w:val="000000"/>
              </w:rPr>
            </w:pPr>
            <w:r w:rsidRPr="00AA35D9">
              <w:rPr>
                <w:color w:val="000000"/>
              </w:rPr>
              <w:t>Lumen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bottom"/>
          </w:tcPr>
          <w:p w14:paraId="7D04CE6A" w14:textId="66CC7E93" w:rsidR="00AA35D9" w:rsidRPr="00AA35D9" w:rsidRDefault="00AA35D9" w:rsidP="00AA35D9">
            <w:pPr>
              <w:rPr>
                <w:color w:val="000000"/>
              </w:rPr>
            </w:pPr>
            <w:r w:rsidRPr="00AA35D9">
              <w:rPr>
                <w:color w:val="000000"/>
              </w:rPr>
              <w:t>Sheri Pressler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bottom"/>
          </w:tcPr>
          <w:p w14:paraId="3C6FB843" w14:textId="4E20BB66" w:rsidR="00AA35D9" w:rsidRPr="00B325AF" w:rsidRDefault="00AA35D9" w:rsidP="00AA35D9">
            <w:pPr>
              <w:rPr>
                <w:color w:val="000000"/>
              </w:rPr>
            </w:pPr>
            <w:r>
              <w:rPr>
                <w:color w:val="000000"/>
              </w:rPr>
              <w:t>Frontier</w:t>
            </w:r>
          </w:p>
        </w:tc>
      </w:tr>
      <w:tr w:rsidR="00AA35D9" w:rsidRPr="00B325AF" w14:paraId="3710C8DC" w14:textId="77777777" w:rsidTr="00AC0655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4458FEC" w14:textId="30C56B19" w:rsidR="00AA35D9" w:rsidRPr="00AA35D9" w:rsidRDefault="00AA35D9" w:rsidP="00AA35D9">
            <w:pPr>
              <w:rPr>
                <w:color w:val="000000"/>
              </w:rPr>
            </w:pPr>
            <w:r w:rsidRPr="00AA35D9">
              <w:rPr>
                <w:color w:val="000000"/>
              </w:rPr>
              <w:t>Cheryl Fullerton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1BAF24CE" w14:textId="20AA729A" w:rsidR="00AA35D9" w:rsidRPr="00AA35D9" w:rsidRDefault="00AA35D9" w:rsidP="00AA35D9">
            <w:pPr>
              <w:rPr>
                <w:color w:val="000000"/>
              </w:rPr>
            </w:pPr>
            <w:r w:rsidRPr="00AA35D9">
              <w:rPr>
                <w:color w:val="000000"/>
              </w:rPr>
              <w:t>Intelliquent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2923C509" w14:textId="40A911D0" w:rsidR="00AA35D9" w:rsidRPr="00AA35D9" w:rsidRDefault="00AA35D9" w:rsidP="00AA35D9">
            <w:pPr>
              <w:rPr>
                <w:color w:val="000000"/>
              </w:rPr>
            </w:pPr>
            <w:r w:rsidRPr="00AA35D9">
              <w:rPr>
                <w:color w:val="000000"/>
              </w:rPr>
              <w:t>Prakhar Mishra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5C4AA7B6" w14:textId="311D1F5F" w:rsidR="00AA35D9" w:rsidRPr="00B325AF" w:rsidRDefault="00AA35D9" w:rsidP="00AA35D9">
            <w:pPr>
              <w:rPr>
                <w:color w:val="000000"/>
              </w:rPr>
            </w:pPr>
            <w:r>
              <w:rPr>
                <w:color w:val="000000"/>
              </w:rPr>
              <w:t>Telnyx</w:t>
            </w:r>
          </w:p>
        </w:tc>
      </w:tr>
      <w:tr w:rsidR="00AA35D9" w:rsidRPr="00B325AF" w14:paraId="56B4306A" w14:textId="77777777" w:rsidTr="00AC0655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4915CD49" w14:textId="344D1C1C" w:rsidR="00AA35D9" w:rsidRPr="00AA35D9" w:rsidRDefault="00AA35D9" w:rsidP="00AA35D9">
            <w:pPr>
              <w:rPr>
                <w:color w:val="000000"/>
              </w:rPr>
            </w:pPr>
            <w:r w:rsidRPr="00AA35D9">
              <w:rPr>
                <w:color w:val="000000"/>
              </w:rPr>
              <w:t>Steve Brock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64713904" w14:textId="1521EDD2" w:rsidR="00AA35D9" w:rsidRPr="00AA35D9" w:rsidRDefault="00AA35D9" w:rsidP="00AA35D9">
            <w:pPr>
              <w:rPr>
                <w:color w:val="000000"/>
              </w:rPr>
            </w:pPr>
            <w:r w:rsidRPr="00AA35D9">
              <w:rPr>
                <w:color w:val="000000"/>
              </w:rPr>
              <w:t>Oracle</w:t>
            </w: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66A543F0" w14:textId="34E3FE8F" w:rsidR="00AA35D9" w:rsidRPr="00AA35D9" w:rsidRDefault="00AA35D9" w:rsidP="00AA35D9">
            <w:pPr>
              <w:rPr>
                <w:color w:val="00000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6D2C4732" w14:textId="1CCE6421" w:rsidR="00AA35D9" w:rsidRPr="00B325AF" w:rsidRDefault="00AA35D9" w:rsidP="00AA35D9">
            <w:pPr>
              <w:rPr>
                <w:color w:val="000000"/>
              </w:rPr>
            </w:pPr>
          </w:p>
        </w:tc>
      </w:tr>
      <w:tr w:rsidR="00AA35D9" w:rsidRPr="00855DB4" w14:paraId="0DA3674D" w14:textId="77777777" w:rsidTr="00090E5C">
        <w:trPr>
          <w:trHeight w:val="144"/>
          <w:jc w:val="center"/>
        </w:trPr>
        <w:tc>
          <w:tcPr>
            <w:tcW w:w="2289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4751BD37" w14:textId="6951A7B2" w:rsidR="00AA35D9" w:rsidRPr="00AA35D9" w:rsidRDefault="00AA35D9" w:rsidP="00AA35D9">
            <w:pPr>
              <w:rPr>
                <w:color w:val="000000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25D4C983" w14:textId="389939F8" w:rsidR="00AA35D9" w:rsidRPr="00AA35D9" w:rsidRDefault="00AA35D9" w:rsidP="00AA35D9">
            <w:pPr>
              <w:rPr>
                <w:color w:val="000000"/>
              </w:rPr>
            </w:pPr>
          </w:p>
        </w:tc>
        <w:tc>
          <w:tcPr>
            <w:tcW w:w="251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vAlign w:val="center"/>
          </w:tcPr>
          <w:p w14:paraId="6F437AF5" w14:textId="3C144B21" w:rsidR="00AA35D9" w:rsidRPr="00AA35D9" w:rsidRDefault="00AA35D9" w:rsidP="00AA35D9">
            <w:pPr>
              <w:rPr>
                <w:color w:val="000000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vAlign w:val="center"/>
          </w:tcPr>
          <w:p w14:paraId="0AD0F714" w14:textId="30BC1F94" w:rsidR="00AA35D9" w:rsidRPr="00855DB4" w:rsidRDefault="00AA35D9" w:rsidP="00AA35D9">
            <w:pPr>
              <w:rPr>
                <w:color w:val="000000"/>
              </w:rPr>
            </w:pPr>
          </w:p>
        </w:tc>
      </w:tr>
    </w:tbl>
    <w:p w14:paraId="24C33D7F" w14:textId="77777777" w:rsidR="00880537" w:rsidRDefault="00880537" w:rsidP="007966A3">
      <w:pPr>
        <w:ind w:firstLine="720"/>
        <w:rPr>
          <w:rFonts w:cstheme="minorHAnsi"/>
          <w:b/>
          <w:sz w:val="28"/>
          <w:szCs w:val="28"/>
        </w:rPr>
      </w:pPr>
    </w:p>
    <w:p w14:paraId="2EB0E06E" w14:textId="69D24DFC" w:rsidR="007966A3" w:rsidRDefault="007966A3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  <w:r w:rsidRPr="00095622">
        <w:rPr>
          <w:rFonts w:cstheme="minorHAnsi"/>
          <w:b/>
          <w:sz w:val="28"/>
          <w:szCs w:val="28"/>
        </w:rPr>
        <w:t>Introductions and Agenda Review – All</w:t>
      </w:r>
    </w:p>
    <w:p w14:paraId="25676FAC" w14:textId="77777777" w:rsidR="00AA35D9" w:rsidRDefault="00AA35D9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</w:p>
    <w:p w14:paraId="4406A9DE" w14:textId="72078432" w:rsidR="00C5599F" w:rsidRPr="00095622" w:rsidRDefault="00C5599F" w:rsidP="00AA35D9">
      <w:pPr>
        <w:spacing w:after="0" w:line="240" w:lineRule="auto"/>
        <w:ind w:firstLine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Notes &amp; </w:t>
      </w:r>
      <w:r w:rsidRPr="00095622">
        <w:rPr>
          <w:rFonts w:cstheme="minorHAnsi"/>
          <w:b/>
          <w:sz w:val="28"/>
          <w:szCs w:val="28"/>
        </w:rPr>
        <w:t>Open Action Item Review</w:t>
      </w:r>
    </w:p>
    <w:p w14:paraId="447B6607" w14:textId="5EF9C170" w:rsidR="00C5599F" w:rsidRDefault="00C5599F" w:rsidP="00AA35D9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PIM 134 – LNP Record Management</w:t>
      </w:r>
    </w:p>
    <w:p w14:paraId="2E7EC539" w14:textId="240D0D73" w:rsidR="00C5599F" w:rsidRPr="00C41841" w:rsidRDefault="00C41841" w:rsidP="00C4184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C41841">
        <w:rPr>
          <w:rFonts w:cstheme="minorHAnsi"/>
          <w:bCs/>
          <w:sz w:val="24"/>
          <w:szCs w:val="24"/>
        </w:rPr>
        <w:t>The management to reduce duplicate records is a band-aid solution to the LSMS record capacity issue.</w:t>
      </w:r>
    </w:p>
    <w:p w14:paraId="5AAB7CBF" w14:textId="78BDFD1E" w:rsidR="00C41841" w:rsidRPr="00C41841" w:rsidRDefault="00C41841" w:rsidP="00C4184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C41841">
        <w:rPr>
          <w:rFonts w:cstheme="minorHAnsi"/>
          <w:bCs/>
          <w:sz w:val="24"/>
          <w:szCs w:val="24"/>
        </w:rPr>
        <w:t>Elimination of the current number of 17.4M duplicate records is estimated to provide approximately 2 months of relief.</w:t>
      </w:r>
    </w:p>
    <w:p w14:paraId="1260E130" w14:textId="27F99629" w:rsidR="002833FC" w:rsidRDefault="002833FC" w:rsidP="00C41841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Discussion about doubling the transaction rate, were there issues when the transaction rate was increased from 4 to 7 tps, could there be a slow increase in the transaction rate</w:t>
      </w:r>
    </w:p>
    <w:p w14:paraId="72744853" w14:textId="77777777" w:rsidR="00AA35D9" w:rsidRDefault="00AA35D9" w:rsidP="00AA35D9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</w:p>
    <w:p w14:paraId="1E2A33D3" w14:textId="19051145" w:rsidR="007966A3" w:rsidRDefault="00C5599F" w:rsidP="00AA35D9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PIM 136 – LSMS Performance</w:t>
      </w:r>
    </w:p>
    <w:p w14:paraId="32C34B1B" w14:textId="2674509D" w:rsidR="00C5599F" w:rsidRPr="00C5599F" w:rsidRDefault="00C5599F" w:rsidP="00AA35D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C5599F">
        <w:rPr>
          <w:rFonts w:cstheme="minorHAnsi"/>
          <w:b/>
          <w:sz w:val="24"/>
          <w:szCs w:val="24"/>
        </w:rPr>
        <w:t>NPIF 05042021-02</w:t>
      </w:r>
      <w:r w:rsidRPr="00C5599F">
        <w:rPr>
          <w:rFonts w:cstheme="minorHAnsi"/>
          <w:bCs/>
          <w:sz w:val="24"/>
          <w:szCs w:val="24"/>
        </w:rPr>
        <w:t xml:space="preserve"> – Giddy Up sub team to review the wording in the PIM 136</w:t>
      </w:r>
    </w:p>
    <w:p w14:paraId="5745512E" w14:textId="779DEC63" w:rsidR="00C5599F" w:rsidRPr="00C5599F" w:rsidRDefault="00C5599F" w:rsidP="00AA35D9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C5599F">
        <w:rPr>
          <w:rFonts w:cstheme="minorHAnsi"/>
          <w:bCs/>
          <w:sz w:val="24"/>
          <w:szCs w:val="24"/>
        </w:rPr>
        <w:t>10x People will provide an update clarifying the description of the NPAC transaction rate</w:t>
      </w:r>
      <w:r w:rsidR="00187583">
        <w:rPr>
          <w:rFonts w:cstheme="minorHAnsi"/>
          <w:bCs/>
          <w:sz w:val="24"/>
          <w:szCs w:val="24"/>
        </w:rPr>
        <w:t xml:space="preserve"> in the Problem/Issue Description section of the PIM</w:t>
      </w:r>
      <w:r w:rsidRPr="00C5599F">
        <w:rPr>
          <w:rFonts w:cstheme="minorHAnsi"/>
          <w:bCs/>
          <w:sz w:val="24"/>
          <w:szCs w:val="24"/>
        </w:rPr>
        <w:t>.</w:t>
      </w:r>
    </w:p>
    <w:p w14:paraId="50F17899" w14:textId="6E7C2003" w:rsidR="0073046E" w:rsidRPr="00AC5ABB" w:rsidRDefault="0073046E" w:rsidP="00AA35D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GUST</w:t>
      </w:r>
      <w:r w:rsidRPr="00395CF2">
        <w:rPr>
          <w:rFonts w:cstheme="minorHAnsi"/>
          <w:b/>
          <w:sz w:val="24"/>
          <w:szCs w:val="24"/>
        </w:rPr>
        <w:t xml:space="preserve"> 0</w:t>
      </w:r>
      <w:r>
        <w:rPr>
          <w:rFonts w:cstheme="minorHAnsi"/>
          <w:b/>
          <w:sz w:val="24"/>
          <w:szCs w:val="24"/>
        </w:rPr>
        <w:t>507</w:t>
      </w:r>
      <w:r w:rsidRPr="00395CF2">
        <w:rPr>
          <w:rFonts w:cstheme="minorHAnsi"/>
          <w:b/>
          <w:sz w:val="24"/>
          <w:szCs w:val="24"/>
        </w:rPr>
        <w:t xml:space="preserve">2021-01 </w:t>
      </w:r>
      <w:r>
        <w:rPr>
          <w:rFonts w:cstheme="minorHAnsi"/>
          <w:b/>
          <w:sz w:val="24"/>
          <w:szCs w:val="24"/>
        </w:rPr>
        <w:t>–</w:t>
      </w:r>
      <w:r w:rsidRPr="00395CF2">
        <w:rPr>
          <w:rFonts w:cstheme="minorHAnsi"/>
          <w:b/>
          <w:sz w:val="24"/>
          <w:szCs w:val="24"/>
        </w:rPr>
        <w:t xml:space="preserve"> </w:t>
      </w:r>
      <w:r w:rsidRPr="008A6A7D">
        <w:rPr>
          <w:rFonts w:cstheme="minorHAnsi"/>
          <w:bCs/>
          <w:sz w:val="24"/>
          <w:szCs w:val="24"/>
        </w:rPr>
        <w:t>iconectiv will review recent events for information that would be helpful for additional analysis.</w:t>
      </w:r>
      <w:r>
        <w:rPr>
          <w:rFonts w:cstheme="minorHAnsi"/>
          <w:bCs/>
          <w:sz w:val="24"/>
          <w:szCs w:val="24"/>
        </w:rPr>
        <w:t xml:space="preserve"> </w:t>
      </w:r>
    </w:p>
    <w:p w14:paraId="4314E9EB" w14:textId="189F6432" w:rsidR="00B325AF" w:rsidRPr="00724DFD" w:rsidRDefault="00724DFD" w:rsidP="00AA35D9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724DFD">
        <w:rPr>
          <w:rFonts w:cstheme="minorHAnsi"/>
          <w:bCs/>
          <w:sz w:val="24"/>
          <w:szCs w:val="24"/>
        </w:rPr>
        <w:t>iconectiv will update charts to add deferred disconnects</w:t>
      </w:r>
      <w:r>
        <w:rPr>
          <w:rFonts w:cstheme="minorHAnsi"/>
          <w:bCs/>
          <w:sz w:val="24"/>
          <w:szCs w:val="24"/>
        </w:rPr>
        <w:t>,</w:t>
      </w:r>
      <w:r w:rsidRPr="00724DFD">
        <w:rPr>
          <w:rFonts w:cstheme="minorHAnsi"/>
          <w:bCs/>
          <w:sz w:val="24"/>
          <w:szCs w:val="24"/>
        </w:rPr>
        <w:t xml:space="preserve"> partial failure events</w:t>
      </w:r>
      <w:r>
        <w:rPr>
          <w:rFonts w:cstheme="minorHAnsi"/>
          <w:bCs/>
          <w:sz w:val="24"/>
          <w:szCs w:val="24"/>
        </w:rPr>
        <w:t>, total SOA notification counts, examine LSMS traffic in other regions during same time, and investigate whether LSMSs went down during outbound flow control periods.</w:t>
      </w:r>
    </w:p>
    <w:p w14:paraId="47A8E194" w14:textId="77777777" w:rsidR="0073046E" w:rsidRPr="0073046E" w:rsidRDefault="0073046E" w:rsidP="00AA35D9">
      <w:pPr>
        <w:pStyle w:val="ListParagraph"/>
        <w:spacing w:after="0" w:line="240" w:lineRule="auto"/>
        <w:ind w:left="2160"/>
        <w:rPr>
          <w:rFonts w:cstheme="minorHAnsi"/>
          <w:bCs/>
          <w:sz w:val="24"/>
          <w:szCs w:val="24"/>
        </w:rPr>
      </w:pPr>
    </w:p>
    <w:p w14:paraId="0D182E7F" w14:textId="23646B01" w:rsidR="0073046E" w:rsidRPr="00AC5ABB" w:rsidRDefault="0073046E" w:rsidP="00AA35D9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GUST</w:t>
      </w:r>
      <w:r w:rsidRPr="00395CF2">
        <w:rPr>
          <w:rFonts w:cstheme="minorHAnsi"/>
          <w:b/>
          <w:sz w:val="24"/>
          <w:szCs w:val="24"/>
        </w:rPr>
        <w:t xml:space="preserve"> 0</w:t>
      </w:r>
      <w:r>
        <w:rPr>
          <w:rFonts w:cstheme="minorHAnsi"/>
          <w:b/>
          <w:sz w:val="24"/>
          <w:szCs w:val="24"/>
        </w:rPr>
        <w:t>507</w:t>
      </w:r>
      <w:r w:rsidRPr="00395CF2">
        <w:rPr>
          <w:rFonts w:cstheme="minorHAnsi"/>
          <w:b/>
          <w:sz w:val="24"/>
          <w:szCs w:val="24"/>
        </w:rPr>
        <w:t xml:space="preserve">2021-02 – </w:t>
      </w:r>
      <w:r w:rsidRPr="008A6A7D">
        <w:rPr>
          <w:rFonts w:cstheme="minorHAnsi"/>
          <w:bCs/>
          <w:sz w:val="24"/>
          <w:szCs w:val="24"/>
        </w:rPr>
        <w:t>Service Providers to consider what transaction volume is appropriate for today’s business activities.</w:t>
      </w:r>
    </w:p>
    <w:p w14:paraId="3136F21B" w14:textId="00D06F32" w:rsidR="0073046E" w:rsidRPr="0073046E" w:rsidRDefault="0073046E" w:rsidP="00AA35D9">
      <w:pPr>
        <w:pStyle w:val="ListParagraph"/>
        <w:numPr>
          <w:ilvl w:val="1"/>
          <w:numId w:val="6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Service providers asked to think about number of transactions in an hour that would satisfy business needs and refer to real world business activities. </w:t>
      </w:r>
    </w:p>
    <w:p w14:paraId="5A250407" w14:textId="12167693" w:rsidR="007966A3" w:rsidRPr="00095622" w:rsidRDefault="007966A3" w:rsidP="00AA35D9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0518270" w14:textId="3BBABA7C" w:rsidR="00880537" w:rsidRDefault="007059D8" w:rsidP="00AA35D9">
      <w:pPr>
        <w:spacing w:after="0" w:line="240" w:lineRule="auto"/>
        <w:ind w:left="720"/>
        <w:rPr>
          <w:rFonts w:cstheme="minorHAnsi"/>
          <w:b/>
          <w:sz w:val="28"/>
          <w:szCs w:val="32"/>
        </w:rPr>
      </w:pPr>
      <w:r>
        <w:rPr>
          <w:rFonts w:cstheme="minorHAnsi"/>
          <w:b/>
          <w:sz w:val="28"/>
          <w:szCs w:val="32"/>
        </w:rPr>
        <w:t>Next</w:t>
      </w:r>
      <w:r w:rsidR="007966A3" w:rsidRPr="00D03191">
        <w:rPr>
          <w:rFonts w:cstheme="minorHAnsi"/>
          <w:b/>
          <w:sz w:val="28"/>
          <w:szCs w:val="32"/>
        </w:rPr>
        <w:t xml:space="preserve"> Meeting</w:t>
      </w:r>
      <w:r w:rsidR="00880537">
        <w:rPr>
          <w:rFonts w:cstheme="minorHAnsi"/>
          <w:b/>
          <w:sz w:val="28"/>
          <w:szCs w:val="32"/>
        </w:rPr>
        <w:t xml:space="preserve">: </w:t>
      </w:r>
      <w:r w:rsidR="00880537" w:rsidRPr="00880537">
        <w:rPr>
          <w:rFonts w:cstheme="minorHAnsi"/>
          <w:bCs/>
          <w:sz w:val="28"/>
          <w:szCs w:val="32"/>
        </w:rPr>
        <w:t xml:space="preserve">Friday, </w:t>
      </w:r>
      <w:r w:rsidR="0073046E">
        <w:rPr>
          <w:rFonts w:cstheme="minorHAnsi"/>
          <w:bCs/>
          <w:sz w:val="28"/>
          <w:szCs w:val="32"/>
        </w:rPr>
        <w:t xml:space="preserve">June </w:t>
      </w:r>
      <w:r w:rsidR="001416BB">
        <w:rPr>
          <w:rFonts w:cstheme="minorHAnsi"/>
          <w:bCs/>
          <w:sz w:val="28"/>
          <w:szCs w:val="32"/>
        </w:rPr>
        <w:t>1</w:t>
      </w:r>
      <w:r w:rsidR="00AA35D9">
        <w:rPr>
          <w:rFonts w:cstheme="minorHAnsi"/>
          <w:bCs/>
          <w:sz w:val="28"/>
          <w:szCs w:val="32"/>
        </w:rPr>
        <w:t>8</w:t>
      </w:r>
      <w:r w:rsidR="0073046E" w:rsidRPr="0073046E">
        <w:rPr>
          <w:rFonts w:cstheme="minorHAnsi"/>
          <w:bCs/>
          <w:sz w:val="28"/>
          <w:szCs w:val="32"/>
          <w:vertAlign w:val="superscript"/>
        </w:rPr>
        <w:t>th</w:t>
      </w:r>
      <w:r w:rsidR="00880537" w:rsidRPr="00880537">
        <w:rPr>
          <w:rFonts w:cstheme="minorHAnsi"/>
          <w:bCs/>
          <w:sz w:val="28"/>
          <w:szCs w:val="32"/>
        </w:rPr>
        <w:t>, 11:00-12:00 EDT</w:t>
      </w:r>
    </w:p>
    <w:p w14:paraId="0352BA69" w14:textId="752B85C0" w:rsidR="007966A3" w:rsidRPr="00880537" w:rsidRDefault="00880537" w:rsidP="00AA35D9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880537">
        <w:rPr>
          <w:rFonts w:cstheme="minorHAnsi"/>
          <w:bCs/>
          <w:sz w:val="28"/>
          <w:szCs w:val="32"/>
        </w:rPr>
        <w:t xml:space="preserve">Regularly scheduled on </w:t>
      </w:r>
      <w:r w:rsidR="00395CF2" w:rsidRPr="00880537">
        <w:rPr>
          <w:rFonts w:cstheme="minorHAnsi"/>
          <w:bCs/>
          <w:sz w:val="28"/>
          <w:szCs w:val="32"/>
        </w:rPr>
        <w:t>Friday</w:t>
      </w:r>
      <w:r w:rsidRPr="00880537">
        <w:rPr>
          <w:rFonts w:cstheme="minorHAnsi"/>
          <w:bCs/>
          <w:sz w:val="28"/>
          <w:szCs w:val="32"/>
        </w:rPr>
        <w:t>s</w:t>
      </w:r>
      <w:r>
        <w:rPr>
          <w:rFonts w:cstheme="minorHAnsi"/>
          <w:bCs/>
          <w:sz w:val="28"/>
          <w:szCs w:val="32"/>
        </w:rPr>
        <w:t xml:space="preserve"> from </w:t>
      </w:r>
      <w:r w:rsidR="00395CF2" w:rsidRPr="00880537">
        <w:rPr>
          <w:rFonts w:cstheme="minorHAnsi"/>
          <w:bCs/>
          <w:sz w:val="28"/>
          <w:szCs w:val="32"/>
        </w:rPr>
        <w:t>11:00-12:00 EDT</w:t>
      </w:r>
    </w:p>
    <w:sectPr w:rsidR="007966A3" w:rsidRPr="00880537" w:rsidSect="00C22FA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49572" w14:textId="77777777" w:rsidR="00945CDD" w:rsidRDefault="00945CDD" w:rsidP="00CA35E6">
      <w:pPr>
        <w:spacing w:after="0" w:line="240" w:lineRule="auto"/>
      </w:pPr>
      <w:r>
        <w:separator/>
      </w:r>
    </w:p>
  </w:endnote>
  <w:endnote w:type="continuationSeparator" w:id="0">
    <w:p w14:paraId="4AFC403F" w14:textId="77777777" w:rsidR="00945CDD" w:rsidRDefault="00945CDD" w:rsidP="00CA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B8CB" w14:textId="77777777" w:rsidR="00945CDD" w:rsidRDefault="00945CDD" w:rsidP="00CA35E6">
      <w:pPr>
        <w:spacing w:after="0" w:line="240" w:lineRule="auto"/>
      </w:pPr>
      <w:r>
        <w:separator/>
      </w:r>
    </w:p>
  </w:footnote>
  <w:footnote w:type="continuationSeparator" w:id="0">
    <w:p w14:paraId="6BE65CFA" w14:textId="77777777" w:rsidR="00945CDD" w:rsidRDefault="00945CDD" w:rsidP="00CA3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87614"/>
    <w:multiLevelType w:val="hybridMultilevel"/>
    <w:tmpl w:val="998643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2055390"/>
    <w:multiLevelType w:val="hybridMultilevel"/>
    <w:tmpl w:val="08F4F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215F4B"/>
    <w:multiLevelType w:val="hybridMultilevel"/>
    <w:tmpl w:val="D36A16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AAD7A82"/>
    <w:multiLevelType w:val="hybridMultilevel"/>
    <w:tmpl w:val="C17C5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97922"/>
    <w:multiLevelType w:val="hybridMultilevel"/>
    <w:tmpl w:val="529E09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28A195E"/>
    <w:multiLevelType w:val="hybridMultilevel"/>
    <w:tmpl w:val="A3801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F73748"/>
    <w:multiLevelType w:val="hybridMultilevel"/>
    <w:tmpl w:val="143C9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8F3A6B"/>
    <w:multiLevelType w:val="hybridMultilevel"/>
    <w:tmpl w:val="16900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510CAA"/>
    <w:multiLevelType w:val="hybridMultilevel"/>
    <w:tmpl w:val="332A2A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15D54FD"/>
    <w:multiLevelType w:val="hybridMultilevel"/>
    <w:tmpl w:val="88D48E9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A3"/>
    <w:rsid w:val="0001672E"/>
    <w:rsid w:val="00030B6B"/>
    <w:rsid w:val="001416BB"/>
    <w:rsid w:val="00187583"/>
    <w:rsid w:val="00192793"/>
    <w:rsid w:val="001E736C"/>
    <w:rsid w:val="00240ED7"/>
    <w:rsid w:val="00247121"/>
    <w:rsid w:val="002560FA"/>
    <w:rsid w:val="002833FC"/>
    <w:rsid w:val="00284397"/>
    <w:rsid w:val="002A7A95"/>
    <w:rsid w:val="002F1265"/>
    <w:rsid w:val="00303086"/>
    <w:rsid w:val="00395CF2"/>
    <w:rsid w:val="003A394D"/>
    <w:rsid w:val="003A5BBC"/>
    <w:rsid w:val="003C36B0"/>
    <w:rsid w:val="00484DC7"/>
    <w:rsid w:val="00517F7A"/>
    <w:rsid w:val="00522958"/>
    <w:rsid w:val="005F1A73"/>
    <w:rsid w:val="0061713D"/>
    <w:rsid w:val="006A4176"/>
    <w:rsid w:val="006B4311"/>
    <w:rsid w:val="006D05E1"/>
    <w:rsid w:val="007059D8"/>
    <w:rsid w:val="00724DFD"/>
    <w:rsid w:val="0073046E"/>
    <w:rsid w:val="00733A6A"/>
    <w:rsid w:val="00796030"/>
    <w:rsid w:val="007966A3"/>
    <w:rsid w:val="007F615D"/>
    <w:rsid w:val="00855DB4"/>
    <w:rsid w:val="00880537"/>
    <w:rsid w:val="008963FE"/>
    <w:rsid w:val="008A6A7D"/>
    <w:rsid w:val="008D15E8"/>
    <w:rsid w:val="00924A60"/>
    <w:rsid w:val="00945CDD"/>
    <w:rsid w:val="00A01CC9"/>
    <w:rsid w:val="00A46D45"/>
    <w:rsid w:val="00AA35D9"/>
    <w:rsid w:val="00AB6336"/>
    <w:rsid w:val="00AC5ABB"/>
    <w:rsid w:val="00AD0DAB"/>
    <w:rsid w:val="00B046F6"/>
    <w:rsid w:val="00B2708A"/>
    <w:rsid w:val="00B325AF"/>
    <w:rsid w:val="00BE39EB"/>
    <w:rsid w:val="00BE7F2A"/>
    <w:rsid w:val="00C22FA3"/>
    <w:rsid w:val="00C41841"/>
    <w:rsid w:val="00C5599F"/>
    <w:rsid w:val="00CA35E6"/>
    <w:rsid w:val="00CC5C6E"/>
    <w:rsid w:val="00CC7F7B"/>
    <w:rsid w:val="00D128CD"/>
    <w:rsid w:val="00D15667"/>
    <w:rsid w:val="00E04114"/>
    <w:rsid w:val="00F41DB8"/>
    <w:rsid w:val="00F72B6E"/>
    <w:rsid w:val="00F82273"/>
    <w:rsid w:val="00FB1FB0"/>
    <w:rsid w:val="00FF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0E0FC5D"/>
  <w15:chartTrackingRefBased/>
  <w15:docId w15:val="{56BC164E-CFFD-4837-9ED3-AEF2FD41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A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66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66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966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66A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7966A3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7966A3"/>
    <w:pPr>
      <w:spacing w:after="0" w:line="240" w:lineRule="auto"/>
      <w:jc w:val="center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966A3"/>
    <w:rPr>
      <w:rFonts w:ascii="Verdana" w:eastAsia="Times New Roman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A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F9BBE-CDD8-4543-AA5E-2A6A743A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Michael</dc:creator>
  <cp:keywords/>
  <dc:description/>
  <cp:lastModifiedBy>Mcconnell - Couch, Joy M</cp:lastModifiedBy>
  <cp:revision>8</cp:revision>
  <dcterms:created xsi:type="dcterms:W3CDTF">2021-06-11T14:13:00Z</dcterms:created>
  <dcterms:modified xsi:type="dcterms:W3CDTF">2021-06-22T18:39:00Z</dcterms:modified>
</cp:coreProperties>
</file>