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74BB455E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AE524E">
        <w:rPr>
          <w:rFonts w:cstheme="minorHAnsi"/>
          <w:sz w:val="28"/>
          <w:szCs w:val="28"/>
        </w:rPr>
        <w:t xml:space="preserve">March </w:t>
      </w:r>
      <w:r w:rsidR="007A3F04">
        <w:rPr>
          <w:rFonts w:cstheme="minorHAnsi"/>
          <w:sz w:val="28"/>
          <w:szCs w:val="28"/>
        </w:rPr>
        <w:t>20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202</w:t>
      </w:r>
      <w:r w:rsidR="00EF7737">
        <w:rPr>
          <w:rFonts w:cstheme="minorHAnsi"/>
          <w:sz w:val="28"/>
          <w:szCs w:val="28"/>
        </w:rPr>
        <w:t>3</w:t>
      </w:r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0AAF8BF2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E32C20">
        <w:rPr>
          <w:rFonts w:cs="Arial"/>
          <w:bCs/>
          <w:i/>
          <w:iCs/>
          <w:sz w:val="24"/>
          <w:szCs w:val="24"/>
        </w:rPr>
        <w:t>6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CF7D0F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531736" w14:paraId="594CFC0F" w14:textId="77777777" w:rsidTr="00CF7D0F">
        <w:tc>
          <w:tcPr>
            <w:tcW w:w="467" w:type="dxa"/>
          </w:tcPr>
          <w:p w14:paraId="3E5A2799" w14:textId="17CEA76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6E37DABA" w14:textId="77777777" w:rsidTr="00CF7D0F">
        <w:tc>
          <w:tcPr>
            <w:tcW w:w="467" w:type="dxa"/>
          </w:tcPr>
          <w:p w14:paraId="796EA0DD" w14:textId="56DBF13F" w:rsidR="00FF33D2" w:rsidRPr="00531736" w:rsidRDefault="00531736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7BBCB23A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D9ECD3B" w14:textId="612E112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0C411978" w14:textId="77777777" w:rsidTr="00CF7D0F">
        <w:tc>
          <w:tcPr>
            <w:tcW w:w="467" w:type="dxa"/>
          </w:tcPr>
          <w:p w14:paraId="6FCEFAEB" w14:textId="7B4FE070" w:rsidR="00FF33D2" w:rsidRPr="00531736" w:rsidRDefault="00E32C20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27D006E" w14:textId="169784D2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110E5C2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6D78F9A7" w14:textId="77777777" w:rsidTr="00CF7D0F">
        <w:tc>
          <w:tcPr>
            <w:tcW w:w="467" w:type="dxa"/>
          </w:tcPr>
          <w:p w14:paraId="1306E48D" w14:textId="0D84CECE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A7AA7F4" w14:textId="4E24C176" w:rsidR="00FF33D2" w:rsidRPr="00531736" w:rsidRDefault="002018C4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Shawyna Hanes</w:t>
            </w:r>
          </w:p>
        </w:tc>
        <w:tc>
          <w:tcPr>
            <w:tcW w:w="2331" w:type="dxa"/>
          </w:tcPr>
          <w:p w14:paraId="1E89EDFF" w14:textId="3B4A8CE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42BF5E28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CEC3D12" w14:textId="14DB106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1D4DAB78" w14:textId="77777777" w:rsidTr="00CF7D0F">
        <w:tc>
          <w:tcPr>
            <w:tcW w:w="467" w:type="dxa"/>
          </w:tcPr>
          <w:p w14:paraId="059A5D0E" w14:textId="3AFE79E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DF08A07" w14:textId="4350625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7442D38F" w14:textId="77777777" w:rsidTr="00CF7D0F">
        <w:tc>
          <w:tcPr>
            <w:tcW w:w="467" w:type="dxa"/>
          </w:tcPr>
          <w:p w14:paraId="387AD65A" w14:textId="3332CFD3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24AB6088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FEE56E" w14:textId="72ED406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340A4C" w:rsidRPr="00531736" w14:paraId="2B0A628D" w14:textId="77777777" w:rsidTr="00CF7D0F">
        <w:tc>
          <w:tcPr>
            <w:tcW w:w="467" w:type="dxa"/>
          </w:tcPr>
          <w:p w14:paraId="3765EFE7" w14:textId="4F981858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CB14C67" w14:textId="72D8B2A4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18CD034E" w14:textId="3ED233F5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C0492CB" w14:textId="428BF933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68025DA" w14:textId="7BA11BD9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1D38E733" w14:textId="07B8FD7B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531736" w:rsidRPr="00531736" w14:paraId="631338DB" w14:textId="77777777" w:rsidTr="00CF7D0F">
        <w:tc>
          <w:tcPr>
            <w:tcW w:w="467" w:type="dxa"/>
          </w:tcPr>
          <w:p w14:paraId="42BB0C03" w14:textId="18EAB7FF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1CC89AB2" w14:textId="52F1ABA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1C527D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6EF2DC9F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B98F1BA" w14:textId="4DA8E47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531736" w:rsidRPr="00531736" w14:paraId="16C6BC03" w14:textId="77777777" w:rsidTr="00CF7D0F">
        <w:tc>
          <w:tcPr>
            <w:tcW w:w="467" w:type="dxa"/>
          </w:tcPr>
          <w:p w14:paraId="742EB834" w14:textId="239471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10C2004E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7D92581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7606BB64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5E59C6A7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60437405" w14:textId="3526EF40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531736" w:rsidRPr="00531736" w14:paraId="3054259E" w14:textId="77777777" w:rsidTr="00CF7D0F">
        <w:tc>
          <w:tcPr>
            <w:tcW w:w="467" w:type="dxa"/>
          </w:tcPr>
          <w:p w14:paraId="2A91DAD3" w14:textId="0F6DF1B1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724B8868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56BCF464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035B126F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31B54A6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0B5AAAB9" w14:textId="12F36D2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Powernet</w:t>
            </w:r>
          </w:p>
        </w:tc>
      </w:tr>
      <w:tr w:rsidR="00531736" w:rsidRPr="00531736" w14:paraId="10E644D6" w14:textId="77777777" w:rsidTr="00CF7D0F">
        <w:tc>
          <w:tcPr>
            <w:tcW w:w="467" w:type="dxa"/>
          </w:tcPr>
          <w:p w14:paraId="3090D160" w14:textId="7FA164CF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EBD187B" w14:textId="3F8CF199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1D1D617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4262254B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33E8D91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3A6D5F1A" w14:textId="06DCD17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Syniverse</w:t>
            </w:r>
          </w:p>
        </w:tc>
      </w:tr>
      <w:tr w:rsidR="00531736" w:rsidRPr="00531736" w14:paraId="7A93A2AA" w14:textId="77777777" w:rsidTr="00CF7D0F">
        <w:tc>
          <w:tcPr>
            <w:tcW w:w="467" w:type="dxa"/>
          </w:tcPr>
          <w:p w14:paraId="696B2897" w14:textId="0B30AE68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59F8AA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3496C4FE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4A3D8AC8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649B6B77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505C28BC" w14:textId="397699D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531736" w:rsidRPr="00531736" w14:paraId="40C3B192" w14:textId="77777777" w:rsidTr="00CF7D0F">
        <w:tc>
          <w:tcPr>
            <w:tcW w:w="467" w:type="dxa"/>
          </w:tcPr>
          <w:p w14:paraId="28379579" w14:textId="17101114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5E6BE6B5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C7EA1A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36020102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5F865E9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4F77C4BF" w14:textId="756A53D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531736" w:rsidRPr="00531736" w14:paraId="3A263848" w14:textId="77777777" w:rsidTr="00CF7D0F">
        <w:tc>
          <w:tcPr>
            <w:tcW w:w="467" w:type="dxa"/>
          </w:tcPr>
          <w:p w14:paraId="2F0B2C06" w14:textId="510CF6E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682D51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2C9F67E0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05ED8837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B1F41C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0AC81DA7" w14:textId="492B9E66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531736" w:rsidRPr="001401BA" w14:paraId="2982DCA2" w14:textId="77777777" w:rsidTr="00CF7D0F">
        <w:tc>
          <w:tcPr>
            <w:tcW w:w="467" w:type="dxa"/>
          </w:tcPr>
          <w:p w14:paraId="75DB903C" w14:textId="6DA55BB9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3393953" w14:textId="6D04704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5E557E8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0EE3FD1C" w:rsidR="00531736" w:rsidRPr="00531736" w:rsidRDefault="00531736" w:rsidP="00531736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29689BDA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1D5935A" w14:textId="2D2FCA25" w:rsidR="00531736" w:rsidRPr="001401BA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77777777" w:rsidR="00E51E4F" w:rsidRPr="00E51E4F" w:rsidRDefault="00E51E4F" w:rsidP="00E51E4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>Requirements that need to be updated or addressed</w:t>
      </w:r>
    </w:p>
    <w:p w14:paraId="30E4FEEB" w14:textId="672F718F" w:rsidR="0091691A" w:rsidRPr="009B1CEC" w:rsidRDefault="00E51E4F" w:rsidP="007775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9B1CEC">
        <w:rPr>
          <w:rFonts w:cstheme="minorHAnsi"/>
          <w:bCs/>
          <w:sz w:val="24"/>
          <w:szCs w:val="24"/>
          <w:u w:val="single"/>
        </w:rPr>
        <w:t>R</w:t>
      </w:r>
      <w:r w:rsidR="00E52ECE" w:rsidRPr="009B1CEC">
        <w:rPr>
          <w:rFonts w:cstheme="minorHAnsi"/>
          <w:bCs/>
          <w:sz w:val="24"/>
          <w:szCs w:val="24"/>
          <w:u w:val="single"/>
        </w:rPr>
        <w:t>ange requests</w:t>
      </w:r>
    </w:p>
    <w:p w14:paraId="7DE63B29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A:  Each TN in a SOA request or notification constitutes a transaction.  For example, a SOA range request with 10 TNs is 10 transactions.  </w:t>
      </w:r>
    </w:p>
    <w:p w14:paraId="04789680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B:  For notifications, the number of SOA transactions is determined by the ceiling of (the total number of TNs in the notification divided by </w:t>
      </w:r>
      <w:r w:rsidRPr="007775DF">
        <w:rPr>
          <w:i/>
          <w:iCs/>
        </w:rPr>
        <w:t>X</w:t>
      </w:r>
      <w:r w:rsidRPr="004D6198">
        <w:t xml:space="preserve">).  For requests, the number of SOA transactions represented by a single range request is determined to be the </w:t>
      </w:r>
      <w:r w:rsidRPr="007775DF">
        <w:rPr>
          <w:u w:val="single"/>
        </w:rPr>
        <w:t>greater</w:t>
      </w:r>
      <w:r w:rsidRPr="004D6198">
        <w:t xml:space="preserve"> of</w:t>
      </w:r>
    </w:p>
    <w:p w14:paraId="213250B1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ceiling of (the total number of TNs in the request divided by </w:t>
      </w:r>
      <w:r w:rsidRPr="007775DF">
        <w:rPr>
          <w:i/>
          <w:iCs/>
        </w:rPr>
        <w:t>X</w:t>
      </w:r>
      <w:r w:rsidRPr="004D6198">
        <w:t xml:space="preserve">).  For example, if </w:t>
      </w:r>
      <w:r w:rsidRPr="007775DF">
        <w:rPr>
          <w:i/>
          <w:iCs/>
        </w:rPr>
        <w:t>X</w:t>
      </w:r>
      <w:r w:rsidRPr="004D6198">
        <w:t xml:space="preserve"> is 5, then a range request with 10 TNs is 2 SOA transaction and a range request with 106 TNs is 22 SOA transactions </w:t>
      </w:r>
    </w:p>
    <w:p w14:paraId="224E65E0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number of download messages sent to all LSMSs divided by the number of LSMSs (i.e., the average number of download messages per LSMS).  </w:t>
      </w:r>
    </w:p>
    <w:p w14:paraId="70F18E1F" w14:textId="578D4349" w:rsidR="003265B6" w:rsidRPr="00E51E4F" w:rsidRDefault="003265B6" w:rsidP="00060223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4E76C7">
        <w:t>Option C:  Range requests count as 1 transaction unless they involve multiple message to LSMS, in which case the average download message per LSMS is the effective transaction count</w:t>
      </w:r>
      <w:r w:rsidR="004E76C7">
        <w:t>.</w:t>
      </w:r>
    </w:p>
    <w:p w14:paraId="5A730194" w14:textId="77777777" w:rsidR="00096228" w:rsidRDefault="00096228" w:rsidP="00096228">
      <w:pPr>
        <w:spacing w:after="0" w:line="240" w:lineRule="auto"/>
        <w:ind w:left="720"/>
        <w:rPr>
          <w:sz w:val="24"/>
          <w:szCs w:val="24"/>
        </w:rPr>
      </w:pPr>
    </w:p>
    <w:p w14:paraId="615B343D" w14:textId="50189759" w:rsidR="00E51E4F" w:rsidRPr="00096228" w:rsidRDefault="00E51E4F" w:rsidP="009B1CEC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  <w:r w:rsidRPr="00096228">
        <w:rPr>
          <w:sz w:val="24"/>
          <w:szCs w:val="24"/>
        </w:rPr>
        <w:t xml:space="preserve">Group Discussion: </w:t>
      </w:r>
    </w:p>
    <w:p w14:paraId="12D1396A" w14:textId="64285A91" w:rsidR="00997FFB" w:rsidRDefault="00997FFB" w:rsidP="009B1CEC">
      <w:pPr>
        <w:pStyle w:val="ListParagraph"/>
        <w:numPr>
          <w:ilvl w:val="0"/>
          <w:numId w:val="28"/>
        </w:numPr>
        <w:spacing w:after="0"/>
        <w:ind w:left="1440"/>
      </w:pPr>
      <w:r>
        <w:lastRenderedPageBreak/>
        <w:t xml:space="preserve">Option C leaves the door wide open.  Option A is constrictive on ranges.  Option B is the most accurate but would require the industry to come up with a number. </w:t>
      </w:r>
    </w:p>
    <w:p w14:paraId="394E1D00" w14:textId="55CB1033" w:rsidR="009F613E" w:rsidRDefault="009F613E" w:rsidP="009B1CEC">
      <w:pPr>
        <w:pStyle w:val="ListParagraph"/>
        <w:numPr>
          <w:ilvl w:val="0"/>
          <w:numId w:val="28"/>
        </w:numPr>
        <w:ind w:left="1440"/>
        <w:rPr>
          <w:b/>
          <w:bCs/>
        </w:rPr>
      </w:pPr>
      <w:r>
        <w:rPr>
          <w:b/>
          <w:bCs/>
        </w:rPr>
        <w:t xml:space="preserve">The group agreed to move forward with </w:t>
      </w:r>
      <w:r w:rsidRPr="009F613E">
        <w:rPr>
          <w:b/>
          <w:bCs/>
        </w:rPr>
        <w:t>Option B</w:t>
      </w:r>
      <w:r>
        <w:rPr>
          <w:b/>
          <w:bCs/>
        </w:rPr>
        <w:t>.</w:t>
      </w:r>
      <w:r w:rsidRPr="009F613E">
        <w:rPr>
          <w:b/>
          <w:bCs/>
        </w:rPr>
        <w:t xml:space="preserve"> </w:t>
      </w:r>
      <w:r>
        <w:rPr>
          <w:b/>
          <w:bCs/>
        </w:rPr>
        <w:t>i</w:t>
      </w:r>
      <w:r w:rsidRPr="009F613E">
        <w:rPr>
          <w:b/>
          <w:bCs/>
        </w:rPr>
        <w:t xml:space="preserve">conectiv </w:t>
      </w:r>
      <w:r w:rsidR="0059280E">
        <w:rPr>
          <w:b/>
          <w:bCs/>
        </w:rPr>
        <w:t>reviewed data from December 2022, January 2023 &amp; February 2023 regarding the volume of range re</w:t>
      </w:r>
      <w:r w:rsidR="0076461B">
        <w:rPr>
          <w:b/>
          <w:bCs/>
        </w:rPr>
        <w:t>qu</w:t>
      </w:r>
      <w:r w:rsidR="0059280E">
        <w:rPr>
          <w:b/>
          <w:bCs/>
        </w:rPr>
        <w:t>ests</w:t>
      </w:r>
      <w:r w:rsidR="0076461B">
        <w:rPr>
          <w:b/>
          <w:bCs/>
        </w:rPr>
        <w:t xml:space="preserve"> during these months</w:t>
      </w:r>
      <w:r w:rsidR="0059280E">
        <w:rPr>
          <w:b/>
          <w:bCs/>
        </w:rPr>
        <w:t>.</w:t>
      </w:r>
      <w:r w:rsidRPr="009F613E">
        <w:rPr>
          <w:b/>
          <w:bCs/>
        </w:rPr>
        <w:t xml:space="preserve">  </w:t>
      </w:r>
    </w:p>
    <w:p w14:paraId="6A3945F9" w14:textId="561AAD7A" w:rsidR="00577B2A" w:rsidRDefault="00577B2A" w:rsidP="00577B2A">
      <w:pPr>
        <w:pStyle w:val="ListParagraph"/>
        <w:ind w:left="1440"/>
        <w:rPr>
          <w:b/>
          <w:bCs/>
        </w:rPr>
      </w:pPr>
      <w:r>
        <w:object w:dxaOrig="1520" w:dyaOrig="988" w14:anchorId="66E0B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8" o:title=""/>
          </v:shape>
          <o:OLEObject Type="Embed" ProgID="PowerPoint.Show.12" ShapeID="_x0000_i1025" DrawAspect="Icon" ObjectID="_1741419499" r:id="rId9"/>
        </w:object>
      </w:r>
    </w:p>
    <w:p w14:paraId="6ABEF620" w14:textId="77777777" w:rsidR="009B1CEC" w:rsidRPr="009F613E" w:rsidRDefault="009B1CEC" w:rsidP="009B1CEC">
      <w:pPr>
        <w:pStyle w:val="ListParagraph"/>
        <w:ind w:left="1080"/>
        <w:rPr>
          <w:b/>
          <w:bCs/>
        </w:rPr>
      </w:pPr>
    </w:p>
    <w:p w14:paraId="534D96D4" w14:textId="74568D81" w:rsidR="009B1CEC" w:rsidRPr="00536349" w:rsidRDefault="009B1CEC" w:rsidP="009B1CEC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u w:val="single"/>
        </w:rPr>
      </w:pPr>
      <w:r w:rsidRPr="00536349">
        <w:rPr>
          <w:sz w:val="24"/>
          <w:szCs w:val="24"/>
          <w:u w:val="single"/>
        </w:rPr>
        <w:t>Relationship between SOA and LSMS transactions</w:t>
      </w:r>
    </w:p>
    <w:p w14:paraId="642BD26B" w14:textId="77777777" w:rsidR="00691BDB" w:rsidRPr="00691BDB" w:rsidRDefault="00691BDB" w:rsidP="00691BDB">
      <w:pPr>
        <w:pStyle w:val="ListParagraph"/>
        <w:numPr>
          <w:ilvl w:val="1"/>
          <w:numId w:val="28"/>
        </w:numPr>
      </w:pPr>
      <w:r w:rsidRPr="00691BDB">
        <w:t>Option A:  Update the SOA transaction aggregate requirement to address two distinct scenarios.</w:t>
      </w:r>
    </w:p>
    <w:p w14:paraId="00344F55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first scenario is for requests that </w:t>
      </w:r>
      <w:r w:rsidRPr="00691BDB">
        <w:rPr>
          <w:u w:val="single"/>
        </w:rPr>
        <w:t>do not</w:t>
      </w:r>
      <w:r w:rsidRPr="00691BDB">
        <w:t xml:space="preserve"> generate downloads (e.g., SV create request, cancel request, modify pending request, query request, etc.) to LSMSs and for notifications to SOAs</w:t>
      </w:r>
    </w:p>
    <w:p w14:paraId="71D4180A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second scenario is for requests that </w:t>
      </w:r>
      <w:r w:rsidRPr="00691BDB">
        <w:rPr>
          <w:u w:val="single"/>
        </w:rPr>
        <w:t>do</w:t>
      </w:r>
      <w:r w:rsidRPr="00691BDB">
        <w:t xml:space="preserve"> generate downloads (i.e., activate, modify active, disconnect) to LSMSs</w:t>
      </w:r>
    </w:p>
    <w:p w14:paraId="70AB1F42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Modify the aggregate transaction requirement (currently 70/sec) to be the sum of both scenarios with a condition that the transaction rate for the second scenario does not exceed the LSMS required rate (currently 7/sec).  Using the current numbers, this update would state that NPAC is required to support 70 SOA transactions per second of which 7 are requests that result in LSMS downloads.  </w:t>
      </w:r>
    </w:p>
    <w:p w14:paraId="6FDB174B" w14:textId="75B356DC" w:rsidR="00691BDB" w:rsidRDefault="00691BDB" w:rsidP="00691BDB">
      <w:pPr>
        <w:pStyle w:val="ListParagraph"/>
        <w:numPr>
          <w:ilvl w:val="1"/>
          <w:numId w:val="28"/>
        </w:numPr>
      </w:pPr>
      <w:r w:rsidRPr="00B63908">
        <w:t>Option B:  Update the SOA transaction requirements to indicate the NPAC is not held to them when the LSMS transaction rate exceeds the defined rate (in aggregate or per LSMS).</w:t>
      </w:r>
    </w:p>
    <w:p w14:paraId="7C183705" w14:textId="79A4908D" w:rsidR="00274D4F" w:rsidRPr="00274D4F" w:rsidRDefault="00274D4F" w:rsidP="00536349">
      <w:pPr>
        <w:spacing w:after="0"/>
        <w:ind w:left="1080"/>
        <w:rPr>
          <w:sz w:val="24"/>
          <w:szCs w:val="24"/>
        </w:rPr>
      </w:pPr>
      <w:r w:rsidRPr="00274D4F">
        <w:rPr>
          <w:sz w:val="24"/>
          <w:szCs w:val="24"/>
        </w:rPr>
        <w:t>Group Discussion</w:t>
      </w:r>
    </w:p>
    <w:p w14:paraId="6E5CB5B2" w14:textId="3FF7B302" w:rsidR="00274D4F" w:rsidRPr="00274D4F" w:rsidRDefault="00274D4F" w:rsidP="00536349">
      <w:pPr>
        <w:pStyle w:val="ListParagraph"/>
        <w:numPr>
          <w:ilvl w:val="0"/>
          <w:numId w:val="28"/>
        </w:numPr>
        <w:spacing w:after="0"/>
        <w:ind w:left="1440"/>
        <w:rPr>
          <w:b/>
          <w:bCs/>
          <w:sz w:val="24"/>
          <w:szCs w:val="24"/>
        </w:rPr>
      </w:pPr>
      <w:r w:rsidRPr="00274D4F">
        <w:rPr>
          <w:b/>
          <w:bCs/>
          <w:sz w:val="24"/>
          <w:szCs w:val="24"/>
        </w:rPr>
        <w:t xml:space="preserve">The group agreed to move forward with Option </w:t>
      </w:r>
      <w:r>
        <w:rPr>
          <w:b/>
          <w:bCs/>
          <w:sz w:val="24"/>
          <w:szCs w:val="24"/>
        </w:rPr>
        <w:t>A</w:t>
      </w:r>
      <w:r w:rsidRPr="00274D4F">
        <w:rPr>
          <w:b/>
          <w:bCs/>
          <w:sz w:val="24"/>
          <w:szCs w:val="24"/>
        </w:rPr>
        <w:t xml:space="preserve">. </w:t>
      </w:r>
    </w:p>
    <w:p w14:paraId="088EC115" w14:textId="046E2EC0" w:rsidR="00536349" w:rsidRPr="001B2771" w:rsidRDefault="00536349" w:rsidP="001B2771">
      <w:pPr>
        <w:spacing w:after="0"/>
        <w:rPr>
          <w:b/>
          <w:bCs/>
          <w:sz w:val="24"/>
          <w:szCs w:val="24"/>
        </w:rPr>
      </w:pPr>
    </w:p>
    <w:p w14:paraId="7985AF15" w14:textId="77777777" w:rsidR="002264BA" w:rsidRPr="00605B9B" w:rsidRDefault="002264BA" w:rsidP="002264BA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605B9B">
        <w:rPr>
          <w:sz w:val="24"/>
          <w:szCs w:val="24"/>
          <w:u w:val="single"/>
        </w:rPr>
        <w:t xml:space="preserve">Service Bureau / Primary SPID and its Secondary SPIDs  </w:t>
      </w:r>
    </w:p>
    <w:p w14:paraId="189AAD4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Clarify requirement wording to state that treatment of XML Primary SPIDs is identical to CMIP Primary SPIDs, as currently defined.</w:t>
      </w:r>
    </w:p>
    <w:p w14:paraId="00F6E90C" w14:textId="69FCCC21" w:rsidR="002264BA" w:rsidRDefault="002264BA" w:rsidP="002264BA">
      <w:pPr>
        <w:pStyle w:val="ListParagraph"/>
        <w:numPr>
          <w:ilvl w:val="1"/>
          <w:numId w:val="31"/>
        </w:numPr>
      </w:pPr>
      <w:r w:rsidRPr="00B63908">
        <w:t>Option B:  Remove per-SOA transaction rate requirement; only aggregate SOA requirement would remain.</w:t>
      </w:r>
    </w:p>
    <w:p w14:paraId="46B9C7DF" w14:textId="77777777" w:rsidR="00377814" w:rsidRPr="00274D4F" w:rsidRDefault="00377814" w:rsidP="00377814">
      <w:pPr>
        <w:spacing w:after="0"/>
        <w:ind w:left="1080"/>
        <w:rPr>
          <w:sz w:val="24"/>
          <w:szCs w:val="24"/>
        </w:rPr>
      </w:pPr>
      <w:r w:rsidRPr="00274D4F">
        <w:rPr>
          <w:sz w:val="24"/>
          <w:szCs w:val="24"/>
        </w:rPr>
        <w:t>Group Discussion</w:t>
      </w:r>
    </w:p>
    <w:p w14:paraId="409FF63B" w14:textId="63506342" w:rsidR="00283B13" w:rsidRPr="00283B13" w:rsidRDefault="008F337E" w:rsidP="00283B13">
      <w:pPr>
        <w:pStyle w:val="ListParagraph"/>
        <w:numPr>
          <w:ilvl w:val="0"/>
          <w:numId w:val="28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Regarding A: </w:t>
      </w:r>
      <w:r w:rsidR="00377814" w:rsidRPr="00CC2E0C">
        <w:rPr>
          <w:sz w:val="24"/>
          <w:szCs w:val="24"/>
        </w:rPr>
        <w:t xml:space="preserve">Per </w:t>
      </w:r>
      <w:r w:rsidR="00016169">
        <w:rPr>
          <w:sz w:val="24"/>
          <w:szCs w:val="24"/>
        </w:rPr>
        <w:t>i</w:t>
      </w:r>
      <w:r w:rsidR="00377814" w:rsidRPr="00CC2E0C">
        <w:rPr>
          <w:sz w:val="24"/>
          <w:szCs w:val="24"/>
        </w:rPr>
        <w:t xml:space="preserve">conectiv, there are around </w:t>
      </w:r>
      <w:r w:rsidR="007A4A92" w:rsidRPr="00CC2E0C">
        <w:rPr>
          <w:sz w:val="24"/>
          <w:szCs w:val="24"/>
        </w:rPr>
        <w:t>100</w:t>
      </w:r>
      <w:r w:rsidR="00795758" w:rsidRPr="00CC2E0C">
        <w:rPr>
          <w:sz w:val="24"/>
          <w:szCs w:val="24"/>
        </w:rPr>
        <w:t>+ primary</w:t>
      </w:r>
      <w:r w:rsidR="007A4A92" w:rsidRPr="00CC2E0C">
        <w:rPr>
          <w:sz w:val="24"/>
          <w:szCs w:val="24"/>
        </w:rPr>
        <w:t xml:space="preserve"> an</w:t>
      </w:r>
      <w:r w:rsidR="00592CBB" w:rsidRPr="00CC2E0C">
        <w:rPr>
          <w:sz w:val="24"/>
          <w:szCs w:val="24"/>
        </w:rPr>
        <w:t xml:space="preserve">d secondary </w:t>
      </w:r>
      <w:r w:rsidR="00047278">
        <w:rPr>
          <w:sz w:val="24"/>
          <w:szCs w:val="24"/>
        </w:rPr>
        <w:t>SPIDs</w:t>
      </w:r>
      <w:r w:rsidR="00592CBB" w:rsidRPr="00CC2E0C">
        <w:rPr>
          <w:sz w:val="24"/>
          <w:szCs w:val="24"/>
        </w:rPr>
        <w:t xml:space="preserve"> per region.  </w:t>
      </w:r>
      <w:r w:rsidR="00283B13">
        <w:rPr>
          <w:sz w:val="24"/>
          <w:szCs w:val="24"/>
        </w:rPr>
        <w:t xml:space="preserve">There are some where we have 148 SPIDs that have at least one delegate SPID.   </w:t>
      </w:r>
      <w:r w:rsidR="00C14407" w:rsidRPr="00531736">
        <w:rPr>
          <w:rFonts w:cstheme="minorHAnsi"/>
          <w:bCs/>
        </w:rPr>
        <w:t>John Nakamura</w:t>
      </w:r>
      <w:r w:rsidR="00C14407">
        <w:rPr>
          <w:sz w:val="24"/>
          <w:szCs w:val="24"/>
        </w:rPr>
        <w:t xml:space="preserve"> </w:t>
      </w:r>
      <w:r w:rsidR="00190C07">
        <w:rPr>
          <w:sz w:val="24"/>
          <w:szCs w:val="24"/>
        </w:rPr>
        <w:t>from 10X stated that we</w:t>
      </w:r>
      <w:r w:rsidR="00C14407">
        <w:rPr>
          <w:sz w:val="24"/>
          <w:szCs w:val="24"/>
        </w:rPr>
        <w:t xml:space="preserve"> a</w:t>
      </w:r>
      <w:r w:rsidR="00CC2E0C" w:rsidRPr="00283B13">
        <w:rPr>
          <w:sz w:val="24"/>
          <w:szCs w:val="24"/>
        </w:rPr>
        <w:t>re not going to be able to simplify this.</w:t>
      </w:r>
      <w:r w:rsidR="00CF5BCF" w:rsidRPr="00283B13">
        <w:rPr>
          <w:sz w:val="24"/>
          <w:szCs w:val="24"/>
        </w:rPr>
        <w:t xml:space="preserve"> </w:t>
      </w:r>
      <w:r w:rsidR="00C14407">
        <w:rPr>
          <w:sz w:val="24"/>
          <w:szCs w:val="24"/>
        </w:rPr>
        <w:t>There are just too many.</w:t>
      </w:r>
    </w:p>
    <w:p w14:paraId="53B6036F" w14:textId="2A8D407E" w:rsidR="00283B13" w:rsidRPr="00E73710" w:rsidRDefault="002B76F8" w:rsidP="002B76F8">
      <w:pPr>
        <w:pStyle w:val="ListParagraph"/>
        <w:ind w:left="1440"/>
        <w:rPr>
          <w:sz w:val="24"/>
          <w:szCs w:val="24"/>
        </w:rPr>
      </w:pPr>
      <w:r w:rsidRPr="00E73710">
        <w:rPr>
          <w:sz w:val="24"/>
          <w:szCs w:val="24"/>
        </w:rPr>
        <w:t xml:space="preserve">Regarding B:  </w:t>
      </w:r>
      <w:r w:rsidR="00F36E70" w:rsidRPr="00E73710">
        <w:rPr>
          <w:sz w:val="24"/>
          <w:szCs w:val="24"/>
        </w:rPr>
        <w:t>Right now, SOAs are looking at this independently</w:t>
      </w:r>
      <w:r w:rsidR="002423F2" w:rsidRPr="00E73710">
        <w:rPr>
          <w:sz w:val="24"/>
          <w:szCs w:val="24"/>
        </w:rPr>
        <w:t xml:space="preserve">. It is hard to keep this as we would need to agree on what it means and is saying.  </w:t>
      </w:r>
      <w:r w:rsidR="00A720DE" w:rsidRPr="00E73710">
        <w:rPr>
          <w:sz w:val="24"/>
          <w:szCs w:val="24"/>
        </w:rPr>
        <w:t xml:space="preserve">This is about </w:t>
      </w:r>
      <w:r w:rsidR="00A720DE" w:rsidRPr="00E778FE">
        <w:rPr>
          <w:i/>
          <w:iCs/>
          <w:sz w:val="24"/>
          <w:szCs w:val="24"/>
          <w:u w:val="single"/>
        </w:rPr>
        <w:t>NPAC not local system requirements</w:t>
      </w:r>
      <w:r w:rsidR="00A720DE" w:rsidRPr="00E73710">
        <w:rPr>
          <w:sz w:val="24"/>
          <w:szCs w:val="24"/>
        </w:rPr>
        <w:t xml:space="preserve">.  </w:t>
      </w:r>
      <w:r w:rsidR="0098796B">
        <w:rPr>
          <w:sz w:val="24"/>
          <w:szCs w:val="24"/>
        </w:rPr>
        <w:t>Ideally this</w:t>
      </w:r>
      <w:r w:rsidR="0098796B" w:rsidRPr="00E73710">
        <w:rPr>
          <w:sz w:val="24"/>
          <w:szCs w:val="24"/>
        </w:rPr>
        <w:t xml:space="preserve"> is valuable as it put the individual in the position of looking at their </w:t>
      </w:r>
      <w:r w:rsidR="00A00E57">
        <w:rPr>
          <w:sz w:val="24"/>
          <w:szCs w:val="24"/>
        </w:rPr>
        <w:t xml:space="preserve">own </w:t>
      </w:r>
      <w:r w:rsidR="0098796B" w:rsidRPr="00E73710">
        <w:rPr>
          <w:sz w:val="24"/>
          <w:szCs w:val="24"/>
        </w:rPr>
        <w:t xml:space="preserve">use, not attempting to </w:t>
      </w:r>
      <w:r w:rsidR="0098796B" w:rsidRPr="00E73710">
        <w:rPr>
          <w:sz w:val="24"/>
          <w:szCs w:val="24"/>
        </w:rPr>
        <w:lastRenderedPageBreak/>
        <w:t>extrapolate</w:t>
      </w:r>
      <w:r w:rsidR="0098796B">
        <w:rPr>
          <w:sz w:val="24"/>
          <w:szCs w:val="24"/>
        </w:rPr>
        <w:t xml:space="preserve"> </w:t>
      </w:r>
      <w:r w:rsidR="0040008D">
        <w:rPr>
          <w:sz w:val="24"/>
          <w:szCs w:val="24"/>
        </w:rPr>
        <w:t xml:space="preserve">overall </w:t>
      </w:r>
      <w:r w:rsidR="0098796B">
        <w:rPr>
          <w:sz w:val="24"/>
          <w:szCs w:val="24"/>
        </w:rPr>
        <w:t>NPAC</w:t>
      </w:r>
      <w:r w:rsidR="00A75F5D">
        <w:rPr>
          <w:sz w:val="24"/>
          <w:szCs w:val="24"/>
        </w:rPr>
        <w:t xml:space="preserve"> usage</w:t>
      </w:r>
      <w:r w:rsidR="0040008D">
        <w:rPr>
          <w:sz w:val="24"/>
          <w:szCs w:val="24"/>
        </w:rPr>
        <w:t xml:space="preserve">. </w:t>
      </w:r>
      <w:r w:rsidR="0098796B">
        <w:rPr>
          <w:sz w:val="24"/>
          <w:szCs w:val="24"/>
        </w:rPr>
        <w:t>However, s</w:t>
      </w:r>
      <w:r w:rsidR="00514638">
        <w:rPr>
          <w:sz w:val="24"/>
          <w:szCs w:val="24"/>
        </w:rPr>
        <w:t>ince this</w:t>
      </w:r>
      <w:r w:rsidR="00A720DE" w:rsidRPr="00E73710">
        <w:rPr>
          <w:sz w:val="24"/>
          <w:szCs w:val="24"/>
        </w:rPr>
        <w:t xml:space="preserve"> is an NPAC requirement, local systems </w:t>
      </w:r>
      <w:r w:rsidR="009E3C98">
        <w:rPr>
          <w:sz w:val="24"/>
          <w:szCs w:val="24"/>
        </w:rPr>
        <w:t xml:space="preserve">may </w:t>
      </w:r>
      <w:r w:rsidR="00A720DE" w:rsidRPr="00E73710">
        <w:rPr>
          <w:sz w:val="24"/>
          <w:szCs w:val="24"/>
        </w:rPr>
        <w:t xml:space="preserve">feel like they could </w:t>
      </w:r>
      <w:r w:rsidR="00242391" w:rsidRPr="00E73710">
        <w:rPr>
          <w:sz w:val="24"/>
          <w:szCs w:val="24"/>
        </w:rPr>
        <w:t>work normally</w:t>
      </w:r>
      <w:r w:rsidR="001420BE" w:rsidRPr="00E73710">
        <w:rPr>
          <w:sz w:val="24"/>
          <w:szCs w:val="24"/>
        </w:rPr>
        <w:t xml:space="preserve"> and estimate NPAC usage and boost their rate if they think </w:t>
      </w:r>
      <w:r w:rsidR="009E3C98">
        <w:rPr>
          <w:sz w:val="24"/>
          <w:szCs w:val="24"/>
        </w:rPr>
        <w:t xml:space="preserve">overall NPAC usage </w:t>
      </w:r>
      <w:r w:rsidR="001420BE" w:rsidRPr="00E73710">
        <w:rPr>
          <w:sz w:val="24"/>
          <w:szCs w:val="24"/>
        </w:rPr>
        <w:t xml:space="preserve">is low.  </w:t>
      </w:r>
      <w:r w:rsidR="00A00E57">
        <w:rPr>
          <w:sz w:val="24"/>
          <w:szCs w:val="24"/>
        </w:rPr>
        <w:t xml:space="preserve">Per </w:t>
      </w:r>
      <w:r w:rsidR="00016169">
        <w:rPr>
          <w:sz w:val="24"/>
          <w:szCs w:val="24"/>
        </w:rPr>
        <w:t>i</w:t>
      </w:r>
      <w:r w:rsidR="00A00E57">
        <w:rPr>
          <w:sz w:val="24"/>
          <w:szCs w:val="24"/>
        </w:rPr>
        <w:t xml:space="preserve">conectiv, this has happened several times over the last few years. </w:t>
      </w:r>
      <w:r w:rsidR="00221314">
        <w:rPr>
          <w:sz w:val="24"/>
          <w:szCs w:val="24"/>
        </w:rPr>
        <w:t>The recommendation is that if we do this, it s</w:t>
      </w:r>
      <w:r w:rsidR="009C0CB4" w:rsidRPr="00E73710">
        <w:rPr>
          <w:sz w:val="24"/>
          <w:szCs w:val="24"/>
        </w:rPr>
        <w:t>hould</w:t>
      </w:r>
      <w:r w:rsidR="001E2586" w:rsidRPr="00E73710">
        <w:rPr>
          <w:sz w:val="24"/>
          <w:szCs w:val="24"/>
        </w:rPr>
        <w:t xml:space="preserve"> this be backed up by a best practice</w:t>
      </w:r>
      <w:r w:rsidR="000E27C8">
        <w:rPr>
          <w:sz w:val="24"/>
          <w:szCs w:val="24"/>
        </w:rPr>
        <w:t xml:space="preserve"> to deter abuse. </w:t>
      </w:r>
      <w:r w:rsidR="001E2586" w:rsidRPr="00E73710">
        <w:rPr>
          <w:sz w:val="24"/>
          <w:szCs w:val="24"/>
        </w:rPr>
        <w:t xml:space="preserve">. NPAC requirements are the baseline, but do not tell you how far beyond that baseline and what the problems associated are. </w:t>
      </w:r>
      <w:r w:rsidR="00456389">
        <w:rPr>
          <w:sz w:val="24"/>
          <w:szCs w:val="24"/>
        </w:rPr>
        <w:t xml:space="preserve"> </w:t>
      </w:r>
      <w:r w:rsidR="005F7344">
        <w:rPr>
          <w:sz w:val="24"/>
          <w:szCs w:val="24"/>
        </w:rPr>
        <w:t>So,</w:t>
      </w:r>
      <w:r w:rsidR="00456389">
        <w:rPr>
          <w:sz w:val="24"/>
          <w:szCs w:val="24"/>
        </w:rPr>
        <w:t xml:space="preserve"> if we choose B, we need to modify FRS Rates and </w:t>
      </w:r>
      <w:r w:rsidR="006E7B0C">
        <w:rPr>
          <w:sz w:val="24"/>
          <w:szCs w:val="24"/>
        </w:rPr>
        <w:t>do a best practice to stop abuse.</w:t>
      </w:r>
      <w:r w:rsidR="005F7344">
        <w:rPr>
          <w:sz w:val="24"/>
          <w:szCs w:val="24"/>
        </w:rPr>
        <w:t xml:space="preserve"> </w:t>
      </w:r>
      <w:r w:rsidR="00C14407" w:rsidRPr="00531736">
        <w:rPr>
          <w:rFonts w:cstheme="minorHAnsi"/>
          <w:bCs/>
        </w:rPr>
        <w:t>Sara Cleland</w:t>
      </w:r>
      <w:r w:rsidR="00C14407">
        <w:rPr>
          <w:sz w:val="24"/>
          <w:szCs w:val="24"/>
        </w:rPr>
        <w:t xml:space="preserve"> </w:t>
      </w:r>
      <w:r w:rsidR="00E24925">
        <w:rPr>
          <w:sz w:val="24"/>
          <w:szCs w:val="24"/>
        </w:rPr>
        <w:t xml:space="preserve">from ATL </w:t>
      </w:r>
      <w:r w:rsidR="0028757A">
        <w:rPr>
          <w:sz w:val="24"/>
          <w:szCs w:val="24"/>
        </w:rPr>
        <w:t>raised concerns about abuse and concurred with John Nakamura that option B</w:t>
      </w:r>
      <w:r w:rsidR="00C14407">
        <w:rPr>
          <w:sz w:val="24"/>
          <w:szCs w:val="24"/>
        </w:rPr>
        <w:t xml:space="preserve"> is better than A</w:t>
      </w:r>
      <w:r w:rsidR="004058E5">
        <w:rPr>
          <w:sz w:val="24"/>
          <w:szCs w:val="24"/>
        </w:rPr>
        <w:t>, but potential abuse is a concern that</w:t>
      </w:r>
      <w:r w:rsidR="00C32B51">
        <w:rPr>
          <w:sz w:val="24"/>
          <w:szCs w:val="24"/>
        </w:rPr>
        <w:t xml:space="preserve"> a best practice can address but does not have the teeth to enforce. </w:t>
      </w:r>
      <w:r w:rsidR="005F7344">
        <w:rPr>
          <w:sz w:val="24"/>
          <w:szCs w:val="24"/>
        </w:rPr>
        <w:t xml:space="preserve"> </w:t>
      </w:r>
      <w:r w:rsidR="00AD2566">
        <w:rPr>
          <w:sz w:val="24"/>
          <w:szCs w:val="24"/>
        </w:rPr>
        <w:t>Due to the small attendance group this week it was agreed to review the data</w:t>
      </w:r>
      <w:r w:rsidR="00B011B0">
        <w:rPr>
          <w:sz w:val="24"/>
          <w:szCs w:val="24"/>
        </w:rPr>
        <w:t xml:space="preserve">, assess pros and cons, and return next week to </w:t>
      </w:r>
      <w:r w:rsidR="00531C57">
        <w:rPr>
          <w:sz w:val="24"/>
          <w:szCs w:val="24"/>
        </w:rPr>
        <w:t xml:space="preserve">discuss with the larger group. </w:t>
      </w:r>
    </w:p>
    <w:p w14:paraId="46D10153" w14:textId="226BE3A1" w:rsidR="00957C1D" w:rsidRDefault="00957C1D" w:rsidP="00283B13">
      <w:pPr>
        <w:spacing w:after="0"/>
        <w:rPr>
          <w:b/>
          <w:bCs/>
          <w:sz w:val="24"/>
          <w:szCs w:val="24"/>
        </w:rPr>
      </w:pPr>
      <w:r w:rsidRPr="00283B13">
        <w:rPr>
          <w:b/>
          <w:bCs/>
          <w:sz w:val="24"/>
          <w:szCs w:val="24"/>
        </w:rPr>
        <w:t>Topics for next meeting:</w:t>
      </w:r>
    </w:p>
    <w:p w14:paraId="795EB554" w14:textId="77777777" w:rsidR="005B5149" w:rsidRPr="00605B9B" w:rsidRDefault="005B5149" w:rsidP="005B5149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605B9B">
        <w:rPr>
          <w:sz w:val="24"/>
          <w:szCs w:val="24"/>
          <w:u w:val="single"/>
        </w:rPr>
        <w:t xml:space="preserve">Service Bureau / Primary SPID and its Secondary SPIDs  </w:t>
      </w:r>
    </w:p>
    <w:p w14:paraId="415F620F" w14:textId="77777777" w:rsidR="005B5149" w:rsidRPr="00B63908" w:rsidRDefault="005B5149" w:rsidP="005B5149">
      <w:pPr>
        <w:pStyle w:val="ListParagraph"/>
        <w:numPr>
          <w:ilvl w:val="1"/>
          <w:numId w:val="31"/>
        </w:numPr>
      </w:pPr>
      <w:r w:rsidRPr="00B63908">
        <w:t>Option A:  Clarify requirement wording to state that treatment of XML Primary SPIDs is identical to CMIP Primary SPIDs, as currently defined.</w:t>
      </w:r>
    </w:p>
    <w:p w14:paraId="20084C2A" w14:textId="2F558ED0" w:rsidR="005B5149" w:rsidRPr="00F12E95" w:rsidRDefault="005B5149" w:rsidP="00F12E95">
      <w:pPr>
        <w:pStyle w:val="ListParagraph"/>
        <w:numPr>
          <w:ilvl w:val="1"/>
          <w:numId w:val="31"/>
        </w:numPr>
      </w:pPr>
      <w:r w:rsidRPr="00B63908">
        <w:t>Option B:  Remove per-SOA transaction rate requirement; only aggregate SOA requirement would remain.</w:t>
      </w:r>
    </w:p>
    <w:p w14:paraId="1B5719D3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>Delegate SPIDs</w:t>
      </w:r>
    </w:p>
    <w:p w14:paraId="77866A6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Leave CO 559 changes in place to limit quantity of delegates that can be used by a single Service Provider SPID but make no further changes.</w:t>
      </w:r>
    </w:p>
    <w:p w14:paraId="7AADB478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Leave CO 559 changes in place but remove per-SOA transaction rate requirement; only aggregate SOA requirement would remain.</w:t>
      </w:r>
    </w:p>
    <w:p w14:paraId="74F15228" w14:textId="7B2438D7" w:rsidR="002264BA" w:rsidRDefault="002264BA" w:rsidP="002264BA">
      <w:pPr>
        <w:pStyle w:val="ListParagraph"/>
        <w:numPr>
          <w:ilvl w:val="1"/>
          <w:numId w:val="31"/>
        </w:numPr>
      </w:pPr>
      <w:r w:rsidRPr="00B63908">
        <w:t xml:space="preserve">Notifications:  GUST should be certain to account for notifications in overall transaction requirement </w:t>
      </w:r>
      <w:r w:rsidRPr="002264BA">
        <w:t>numbers, including frequency with which notification suppression is utilized</w:t>
      </w:r>
    </w:p>
    <w:p w14:paraId="37A58B37" w14:textId="76656E79" w:rsidR="003517FA" w:rsidRPr="00854C1C" w:rsidRDefault="00854C1C" w:rsidP="003517F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i</w:t>
      </w:r>
      <w:r w:rsidR="00DF6F4B" w:rsidRPr="00854C1C">
        <w:rPr>
          <w:b/>
          <w:bCs/>
        </w:rPr>
        <w:t xml:space="preserve">conectiv </w:t>
      </w:r>
      <w:r w:rsidR="00F12E95">
        <w:rPr>
          <w:b/>
          <w:bCs/>
        </w:rPr>
        <w:t xml:space="preserve">provided data regarding the </w:t>
      </w:r>
      <w:r w:rsidR="006E2879">
        <w:rPr>
          <w:b/>
          <w:bCs/>
        </w:rPr>
        <w:t xml:space="preserve">number of primary and </w:t>
      </w:r>
      <w:r w:rsidR="00C2273F">
        <w:rPr>
          <w:b/>
          <w:bCs/>
        </w:rPr>
        <w:t>secondary</w:t>
      </w:r>
      <w:r w:rsidR="006E2879">
        <w:rPr>
          <w:b/>
          <w:bCs/>
        </w:rPr>
        <w:t xml:space="preserve"> SPIDs</w:t>
      </w:r>
      <w:r w:rsidR="00D14909">
        <w:rPr>
          <w:b/>
          <w:bCs/>
        </w:rPr>
        <w:t xml:space="preserve">, there were a lot more than anyone expected making </w:t>
      </w:r>
      <w:r w:rsidR="004012ED">
        <w:rPr>
          <w:b/>
          <w:bCs/>
        </w:rPr>
        <w:t>that calculation more complex</w:t>
      </w:r>
      <w:r w:rsidRPr="00854C1C">
        <w:rPr>
          <w:b/>
          <w:bCs/>
        </w:rPr>
        <w:t xml:space="preserve">. Not all who had </w:t>
      </w:r>
      <w:r w:rsidR="005157DF">
        <w:rPr>
          <w:b/>
          <w:bCs/>
        </w:rPr>
        <w:t xml:space="preserve">previously </w:t>
      </w:r>
      <w:r w:rsidRPr="00854C1C">
        <w:rPr>
          <w:b/>
          <w:bCs/>
        </w:rPr>
        <w:t>expressed concerns with these requirements were present in the call. Further discussion is planned for the next meeting.</w:t>
      </w:r>
      <w:r w:rsidR="00C20C8F">
        <w:rPr>
          <w:b/>
          <w:bCs/>
        </w:rPr>
        <w:t xml:space="preserve"> Please review the </w:t>
      </w:r>
      <w:r w:rsidR="002613D2">
        <w:rPr>
          <w:b/>
          <w:bCs/>
        </w:rPr>
        <w:t xml:space="preserve">attached Cheat </w:t>
      </w:r>
      <w:r w:rsidR="00016169">
        <w:rPr>
          <w:b/>
          <w:bCs/>
        </w:rPr>
        <w:t>Sheet</w:t>
      </w:r>
    </w:p>
    <w:p w14:paraId="1FA20AB9" w14:textId="77777777" w:rsidR="00536349" w:rsidRPr="009B1CEC" w:rsidRDefault="00536349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7BBCAC82" w14:textId="47C4EB69" w:rsidR="00C100AA" w:rsidRPr="003B1C2F" w:rsidRDefault="007059D8" w:rsidP="003B1C2F">
      <w:pPr>
        <w:spacing w:before="120"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E76C7">
        <w:rPr>
          <w:rFonts w:cstheme="minorHAnsi"/>
          <w:b/>
          <w:color w:val="FF0000"/>
          <w:sz w:val="28"/>
          <w:szCs w:val="32"/>
        </w:rPr>
        <w:t xml:space="preserve">March </w:t>
      </w:r>
      <w:r w:rsidR="007A3F04">
        <w:rPr>
          <w:rFonts w:cstheme="minorHAnsi"/>
          <w:b/>
          <w:color w:val="FF0000"/>
          <w:sz w:val="28"/>
          <w:szCs w:val="32"/>
        </w:rPr>
        <w:t>27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C100AA" w:rsidRPr="003B1C2F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4365" w14:textId="77777777" w:rsidR="003C7DA1" w:rsidRDefault="003C7DA1" w:rsidP="00CA35E6">
      <w:pPr>
        <w:spacing w:after="0" w:line="240" w:lineRule="auto"/>
      </w:pPr>
      <w:r>
        <w:separator/>
      </w:r>
    </w:p>
  </w:endnote>
  <w:endnote w:type="continuationSeparator" w:id="0">
    <w:p w14:paraId="5B4353DE" w14:textId="77777777" w:rsidR="003C7DA1" w:rsidRDefault="003C7DA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C2A84" w14:textId="77777777" w:rsidR="003C7DA1" w:rsidRDefault="003C7DA1" w:rsidP="00CA35E6">
      <w:pPr>
        <w:spacing w:after="0" w:line="240" w:lineRule="auto"/>
      </w:pPr>
      <w:r>
        <w:separator/>
      </w:r>
    </w:p>
  </w:footnote>
  <w:footnote w:type="continuationSeparator" w:id="0">
    <w:p w14:paraId="19990D9F" w14:textId="77777777" w:rsidR="003C7DA1" w:rsidRDefault="003C7DA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C350E"/>
    <w:multiLevelType w:val="hybridMultilevel"/>
    <w:tmpl w:val="B7B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5"/>
  </w:num>
  <w:num w:numId="2" w16cid:durableId="1049039159">
    <w:abstractNumId w:val="6"/>
  </w:num>
  <w:num w:numId="3" w16cid:durableId="1953243766">
    <w:abstractNumId w:val="24"/>
  </w:num>
  <w:num w:numId="4" w16cid:durableId="353849108">
    <w:abstractNumId w:val="15"/>
  </w:num>
  <w:num w:numId="5" w16cid:durableId="505676308">
    <w:abstractNumId w:val="0"/>
  </w:num>
  <w:num w:numId="6" w16cid:durableId="612135086">
    <w:abstractNumId w:val="12"/>
  </w:num>
  <w:num w:numId="7" w16cid:durableId="380983899">
    <w:abstractNumId w:val="4"/>
  </w:num>
  <w:num w:numId="8" w16cid:durableId="1008943">
    <w:abstractNumId w:val="10"/>
  </w:num>
  <w:num w:numId="9" w16cid:durableId="1983921946">
    <w:abstractNumId w:val="8"/>
  </w:num>
  <w:num w:numId="10" w16cid:durableId="708647760">
    <w:abstractNumId w:val="18"/>
  </w:num>
  <w:num w:numId="11" w16cid:durableId="1474638053">
    <w:abstractNumId w:val="22"/>
  </w:num>
  <w:num w:numId="12" w16cid:durableId="1458140498">
    <w:abstractNumId w:val="16"/>
  </w:num>
  <w:num w:numId="13" w16cid:durableId="1690988770">
    <w:abstractNumId w:val="1"/>
  </w:num>
  <w:num w:numId="14" w16cid:durableId="2128501043">
    <w:abstractNumId w:val="21"/>
  </w:num>
  <w:num w:numId="15" w16cid:durableId="454252433">
    <w:abstractNumId w:val="19"/>
  </w:num>
  <w:num w:numId="16" w16cid:durableId="324742403">
    <w:abstractNumId w:val="7"/>
  </w:num>
  <w:num w:numId="17" w16cid:durableId="1733654334">
    <w:abstractNumId w:val="25"/>
  </w:num>
  <w:num w:numId="18" w16cid:durableId="15185465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7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6"/>
  </w:num>
  <w:num w:numId="23" w16cid:durableId="853374279">
    <w:abstractNumId w:val="23"/>
  </w:num>
  <w:num w:numId="24" w16cid:durableId="1791362460">
    <w:abstractNumId w:val="20"/>
  </w:num>
  <w:num w:numId="25" w16cid:durableId="848444416">
    <w:abstractNumId w:val="9"/>
  </w:num>
  <w:num w:numId="26" w16cid:durableId="470176227">
    <w:abstractNumId w:val="11"/>
  </w:num>
  <w:num w:numId="27" w16cid:durableId="1328939143">
    <w:abstractNumId w:val="28"/>
  </w:num>
  <w:num w:numId="28" w16cid:durableId="1357733842">
    <w:abstractNumId w:val="14"/>
  </w:num>
  <w:num w:numId="29" w16cid:durableId="1807040207">
    <w:abstractNumId w:val="17"/>
  </w:num>
  <w:num w:numId="30" w16cid:durableId="975064912">
    <w:abstractNumId w:val="3"/>
  </w:num>
  <w:num w:numId="31" w16cid:durableId="1426264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6618"/>
    <w:rsid w:val="00012709"/>
    <w:rsid w:val="00016169"/>
    <w:rsid w:val="0001672E"/>
    <w:rsid w:val="0002566D"/>
    <w:rsid w:val="00030B6B"/>
    <w:rsid w:val="00035A48"/>
    <w:rsid w:val="000430A2"/>
    <w:rsid w:val="00044AD7"/>
    <w:rsid w:val="00047278"/>
    <w:rsid w:val="00061A88"/>
    <w:rsid w:val="00074E2F"/>
    <w:rsid w:val="00096228"/>
    <w:rsid w:val="00097C67"/>
    <w:rsid w:val="000A523C"/>
    <w:rsid w:val="000C16B0"/>
    <w:rsid w:val="000C22BE"/>
    <w:rsid w:val="000C3C6F"/>
    <w:rsid w:val="000D24A5"/>
    <w:rsid w:val="000E27C8"/>
    <w:rsid w:val="000E3612"/>
    <w:rsid w:val="000E419E"/>
    <w:rsid w:val="000F1D82"/>
    <w:rsid w:val="001401BA"/>
    <w:rsid w:val="001416BB"/>
    <w:rsid w:val="001420BE"/>
    <w:rsid w:val="00163123"/>
    <w:rsid w:val="0018398A"/>
    <w:rsid w:val="00187583"/>
    <w:rsid w:val="00190C07"/>
    <w:rsid w:val="00192793"/>
    <w:rsid w:val="001A438B"/>
    <w:rsid w:val="001B2771"/>
    <w:rsid w:val="001D2E9C"/>
    <w:rsid w:val="001E2586"/>
    <w:rsid w:val="001E736C"/>
    <w:rsid w:val="002018C4"/>
    <w:rsid w:val="00221314"/>
    <w:rsid w:val="00224F76"/>
    <w:rsid w:val="002264BA"/>
    <w:rsid w:val="00240ED7"/>
    <w:rsid w:val="00242391"/>
    <w:rsid w:val="002423F2"/>
    <w:rsid w:val="00247121"/>
    <w:rsid w:val="00250061"/>
    <w:rsid w:val="0025348C"/>
    <w:rsid w:val="002560FA"/>
    <w:rsid w:val="002612F2"/>
    <w:rsid w:val="002613D2"/>
    <w:rsid w:val="002644AA"/>
    <w:rsid w:val="00273261"/>
    <w:rsid w:val="00274D4F"/>
    <w:rsid w:val="002833FC"/>
    <w:rsid w:val="00283B13"/>
    <w:rsid w:val="00284397"/>
    <w:rsid w:val="0028756E"/>
    <w:rsid w:val="0028757A"/>
    <w:rsid w:val="002911B5"/>
    <w:rsid w:val="002A4FD7"/>
    <w:rsid w:val="002A7A95"/>
    <w:rsid w:val="002B5C35"/>
    <w:rsid w:val="002B7014"/>
    <w:rsid w:val="002B76F8"/>
    <w:rsid w:val="002D1A4E"/>
    <w:rsid w:val="002D71E8"/>
    <w:rsid w:val="002E476B"/>
    <w:rsid w:val="002F1265"/>
    <w:rsid w:val="002F3968"/>
    <w:rsid w:val="00303086"/>
    <w:rsid w:val="003265B6"/>
    <w:rsid w:val="00340A4C"/>
    <w:rsid w:val="00342CA2"/>
    <w:rsid w:val="003517FA"/>
    <w:rsid w:val="00362A63"/>
    <w:rsid w:val="00363DA0"/>
    <w:rsid w:val="00377814"/>
    <w:rsid w:val="003818B9"/>
    <w:rsid w:val="00385FF5"/>
    <w:rsid w:val="003907C2"/>
    <w:rsid w:val="00395B15"/>
    <w:rsid w:val="00395CF2"/>
    <w:rsid w:val="003A394D"/>
    <w:rsid w:val="003A5BBC"/>
    <w:rsid w:val="003B1C2F"/>
    <w:rsid w:val="003B3121"/>
    <w:rsid w:val="003C36B0"/>
    <w:rsid w:val="003C7DA1"/>
    <w:rsid w:val="003E06E2"/>
    <w:rsid w:val="0040008D"/>
    <w:rsid w:val="004012ED"/>
    <w:rsid w:val="004058E5"/>
    <w:rsid w:val="00405E4C"/>
    <w:rsid w:val="00424081"/>
    <w:rsid w:val="00426C55"/>
    <w:rsid w:val="004409E0"/>
    <w:rsid w:val="00442EA1"/>
    <w:rsid w:val="004446A3"/>
    <w:rsid w:val="0044484B"/>
    <w:rsid w:val="00450DFB"/>
    <w:rsid w:val="00456389"/>
    <w:rsid w:val="0046681F"/>
    <w:rsid w:val="004832F4"/>
    <w:rsid w:val="00484DC7"/>
    <w:rsid w:val="00492A78"/>
    <w:rsid w:val="00492C6F"/>
    <w:rsid w:val="004B367B"/>
    <w:rsid w:val="004E76C7"/>
    <w:rsid w:val="004F1F92"/>
    <w:rsid w:val="004F60D1"/>
    <w:rsid w:val="00514638"/>
    <w:rsid w:val="005157DF"/>
    <w:rsid w:val="005165AA"/>
    <w:rsid w:val="00517F7A"/>
    <w:rsid w:val="00522958"/>
    <w:rsid w:val="00531736"/>
    <w:rsid w:val="00531C57"/>
    <w:rsid w:val="00534657"/>
    <w:rsid w:val="00536349"/>
    <w:rsid w:val="005411BA"/>
    <w:rsid w:val="00554E44"/>
    <w:rsid w:val="00556A23"/>
    <w:rsid w:val="00577B2A"/>
    <w:rsid w:val="0059280E"/>
    <w:rsid w:val="00592CBB"/>
    <w:rsid w:val="005B13F7"/>
    <w:rsid w:val="005B5149"/>
    <w:rsid w:val="005B6B1A"/>
    <w:rsid w:val="005C1B89"/>
    <w:rsid w:val="005C35E7"/>
    <w:rsid w:val="005D029D"/>
    <w:rsid w:val="005E163F"/>
    <w:rsid w:val="005E4470"/>
    <w:rsid w:val="005F1A73"/>
    <w:rsid w:val="005F7344"/>
    <w:rsid w:val="00601BBC"/>
    <w:rsid w:val="00605B9B"/>
    <w:rsid w:val="00606107"/>
    <w:rsid w:val="0061713D"/>
    <w:rsid w:val="006204DC"/>
    <w:rsid w:val="00626791"/>
    <w:rsid w:val="00630931"/>
    <w:rsid w:val="006311D0"/>
    <w:rsid w:val="00636EC3"/>
    <w:rsid w:val="006647DC"/>
    <w:rsid w:val="00671A6F"/>
    <w:rsid w:val="00691BDB"/>
    <w:rsid w:val="006A4176"/>
    <w:rsid w:val="006A449E"/>
    <w:rsid w:val="006C2A0B"/>
    <w:rsid w:val="006D05E1"/>
    <w:rsid w:val="006D3E36"/>
    <w:rsid w:val="006E2879"/>
    <w:rsid w:val="006E7B0C"/>
    <w:rsid w:val="006F34D2"/>
    <w:rsid w:val="00700A5F"/>
    <w:rsid w:val="00701D16"/>
    <w:rsid w:val="0070362A"/>
    <w:rsid w:val="007059D8"/>
    <w:rsid w:val="00724DFD"/>
    <w:rsid w:val="0073046E"/>
    <w:rsid w:val="00730F03"/>
    <w:rsid w:val="00733556"/>
    <w:rsid w:val="00733A6A"/>
    <w:rsid w:val="00743DD1"/>
    <w:rsid w:val="00761465"/>
    <w:rsid w:val="0076461B"/>
    <w:rsid w:val="00771491"/>
    <w:rsid w:val="007775DF"/>
    <w:rsid w:val="0078031B"/>
    <w:rsid w:val="00795758"/>
    <w:rsid w:val="00796030"/>
    <w:rsid w:val="007966A3"/>
    <w:rsid w:val="007A3F04"/>
    <w:rsid w:val="007A4A92"/>
    <w:rsid w:val="007D0044"/>
    <w:rsid w:val="007D26BD"/>
    <w:rsid w:val="007F1493"/>
    <w:rsid w:val="007F615D"/>
    <w:rsid w:val="008056ED"/>
    <w:rsid w:val="008266F4"/>
    <w:rsid w:val="00831855"/>
    <w:rsid w:val="008468A8"/>
    <w:rsid w:val="00854C1C"/>
    <w:rsid w:val="00855875"/>
    <w:rsid w:val="00855DB4"/>
    <w:rsid w:val="00880537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8F337E"/>
    <w:rsid w:val="00912D39"/>
    <w:rsid w:val="00913E46"/>
    <w:rsid w:val="0091691A"/>
    <w:rsid w:val="00921421"/>
    <w:rsid w:val="00924A60"/>
    <w:rsid w:val="00926CA4"/>
    <w:rsid w:val="0094385B"/>
    <w:rsid w:val="00945CDD"/>
    <w:rsid w:val="00957C1D"/>
    <w:rsid w:val="009674EB"/>
    <w:rsid w:val="0098796B"/>
    <w:rsid w:val="00997FFB"/>
    <w:rsid w:val="009B1CEC"/>
    <w:rsid w:val="009B257D"/>
    <w:rsid w:val="009B6709"/>
    <w:rsid w:val="009C0CB4"/>
    <w:rsid w:val="009D2810"/>
    <w:rsid w:val="009D2B3D"/>
    <w:rsid w:val="009E1760"/>
    <w:rsid w:val="009E3C98"/>
    <w:rsid w:val="009F613E"/>
    <w:rsid w:val="00A00E57"/>
    <w:rsid w:val="00A01CC9"/>
    <w:rsid w:val="00A02AFD"/>
    <w:rsid w:val="00A055A4"/>
    <w:rsid w:val="00A23600"/>
    <w:rsid w:val="00A46D45"/>
    <w:rsid w:val="00A63616"/>
    <w:rsid w:val="00A720DE"/>
    <w:rsid w:val="00A75F5D"/>
    <w:rsid w:val="00A85EF6"/>
    <w:rsid w:val="00A87DFE"/>
    <w:rsid w:val="00A90A1F"/>
    <w:rsid w:val="00AA35D9"/>
    <w:rsid w:val="00AA7960"/>
    <w:rsid w:val="00AB6336"/>
    <w:rsid w:val="00AC170B"/>
    <w:rsid w:val="00AC26D0"/>
    <w:rsid w:val="00AC5ABB"/>
    <w:rsid w:val="00AD0DAB"/>
    <w:rsid w:val="00AD2566"/>
    <w:rsid w:val="00AD3E85"/>
    <w:rsid w:val="00AE524E"/>
    <w:rsid w:val="00AF7531"/>
    <w:rsid w:val="00AF7E0B"/>
    <w:rsid w:val="00B011B0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87628"/>
    <w:rsid w:val="00B92EDD"/>
    <w:rsid w:val="00BA3846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2A48"/>
    <w:rsid w:val="00C54818"/>
    <w:rsid w:val="00C5599F"/>
    <w:rsid w:val="00C63C57"/>
    <w:rsid w:val="00C63D37"/>
    <w:rsid w:val="00C75023"/>
    <w:rsid w:val="00C86904"/>
    <w:rsid w:val="00CA35E6"/>
    <w:rsid w:val="00CC2E0C"/>
    <w:rsid w:val="00CC5C6E"/>
    <w:rsid w:val="00CC5D61"/>
    <w:rsid w:val="00CC7F7B"/>
    <w:rsid w:val="00CF1C5B"/>
    <w:rsid w:val="00CF46A0"/>
    <w:rsid w:val="00CF5BCF"/>
    <w:rsid w:val="00CF7D0F"/>
    <w:rsid w:val="00D11001"/>
    <w:rsid w:val="00D11D6C"/>
    <w:rsid w:val="00D128CD"/>
    <w:rsid w:val="00D13F91"/>
    <w:rsid w:val="00D14909"/>
    <w:rsid w:val="00D15667"/>
    <w:rsid w:val="00D20900"/>
    <w:rsid w:val="00D321CD"/>
    <w:rsid w:val="00D66760"/>
    <w:rsid w:val="00D74A57"/>
    <w:rsid w:val="00D84547"/>
    <w:rsid w:val="00DC0EEF"/>
    <w:rsid w:val="00DC7635"/>
    <w:rsid w:val="00DD18F9"/>
    <w:rsid w:val="00DE6EEE"/>
    <w:rsid w:val="00DF1C8B"/>
    <w:rsid w:val="00DF59AD"/>
    <w:rsid w:val="00DF6F4B"/>
    <w:rsid w:val="00E0094D"/>
    <w:rsid w:val="00E00B2F"/>
    <w:rsid w:val="00E039EA"/>
    <w:rsid w:val="00E04114"/>
    <w:rsid w:val="00E14F2E"/>
    <w:rsid w:val="00E174DA"/>
    <w:rsid w:val="00E20F6A"/>
    <w:rsid w:val="00E24925"/>
    <w:rsid w:val="00E32C20"/>
    <w:rsid w:val="00E51E4F"/>
    <w:rsid w:val="00E52ECE"/>
    <w:rsid w:val="00E574C2"/>
    <w:rsid w:val="00E66CAC"/>
    <w:rsid w:val="00E72D12"/>
    <w:rsid w:val="00E72F76"/>
    <w:rsid w:val="00E73710"/>
    <w:rsid w:val="00E77665"/>
    <w:rsid w:val="00E778FE"/>
    <w:rsid w:val="00E966A8"/>
    <w:rsid w:val="00EA1A74"/>
    <w:rsid w:val="00EC1091"/>
    <w:rsid w:val="00EC4C58"/>
    <w:rsid w:val="00EF0287"/>
    <w:rsid w:val="00EF7737"/>
    <w:rsid w:val="00F12E95"/>
    <w:rsid w:val="00F2634B"/>
    <w:rsid w:val="00F35017"/>
    <w:rsid w:val="00F36E70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974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1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2</cp:revision>
  <dcterms:created xsi:type="dcterms:W3CDTF">2023-03-27T16:52:00Z</dcterms:created>
  <dcterms:modified xsi:type="dcterms:W3CDTF">2023-03-27T16:52:00Z</dcterms:modified>
</cp:coreProperties>
</file>