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bottom w:val="single" w:sz="6" w:space="0" w:color="auto"/>
        </w:tblBorders>
        <w:tblLayout w:type="fixed"/>
        <w:tblLook w:val="0000" w:firstRow="0" w:lastRow="0" w:firstColumn="0" w:lastColumn="0" w:noHBand="0" w:noVBand="0"/>
      </w:tblPr>
      <w:tblGrid>
        <w:gridCol w:w="3348"/>
        <w:gridCol w:w="3240"/>
        <w:gridCol w:w="2988"/>
      </w:tblGrid>
      <w:tr w:rsidR="00000000" w14:paraId="46234435" w14:textId="77777777">
        <w:tblPrEx>
          <w:tblCellMar>
            <w:top w:w="0" w:type="dxa"/>
            <w:bottom w:w="0" w:type="dxa"/>
          </w:tblCellMar>
        </w:tblPrEx>
        <w:trPr>
          <w:cantSplit/>
        </w:trPr>
        <w:tc>
          <w:tcPr>
            <w:tcW w:w="3348" w:type="dxa"/>
            <w:tcBorders>
              <w:top w:val="single" w:sz="6" w:space="0" w:color="auto"/>
              <w:left w:val="nil"/>
              <w:bottom w:val="single" w:sz="6" w:space="0" w:color="auto"/>
              <w:right w:val="nil"/>
            </w:tcBorders>
          </w:tcPr>
          <w:p w14:paraId="02EC52F8" w14:textId="77777777" w:rsidR="00000000" w:rsidRDefault="00F62566">
            <w:pPr>
              <w:pStyle w:val="Heading4"/>
              <w:tabs>
                <w:tab w:val="center" w:pos="4680"/>
                <w:tab w:val="right" w:pos="9360"/>
              </w:tabs>
              <w:spacing w:before="100" w:after="100"/>
            </w:pPr>
            <w:r>
              <w:t xml:space="preserve">AT&amp;T </w:t>
            </w:r>
          </w:p>
        </w:tc>
        <w:tc>
          <w:tcPr>
            <w:tcW w:w="3240" w:type="dxa"/>
            <w:tcBorders>
              <w:top w:val="single" w:sz="6" w:space="0" w:color="auto"/>
              <w:left w:val="nil"/>
              <w:bottom w:val="single" w:sz="6" w:space="0" w:color="auto"/>
              <w:right w:val="nil"/>
            </w:tcBorders>
          </w:tcPr>
          <w:p w14:paraId="3F379AC2" w14:textId="77777777" w:rsidR="00000000" w:rsidRDefault="00F62566">
            <w:pPr>
              <w:pStyle w:val="Heading4"/>
              <w:tabs>
                <w:tab w:val="center" w:pos="4680"/>
                <w:tab w:val="right" w:pos="9360"/>
              </w:tabs>
              <w:spacing w:before="100" w:after="100"/>
              <w:jc w:val="center"/>
            </w:pPr>
            <w:r>
              <w:t>Atlanta, Georgia</w:t>
            </w:r>
          </w:p>
        </w:tc>
        <w:tc>
          <w:tcPr>
            <w:tcW w:w="2988" w:type="dxa"/>
            <w:tcBorders>
              <w:top w:val="single" w:sz="6" w:space="0" w:color="auto"/>
              <w:left w:val="nil"/>
              <w:bottom w:val="single" w:sz="6" w:space="0" w:color="auto"/>
              <w:right w:val="nil"/>
            </w:tcBorders>
          </w:tcPr>
          <w:p w14:paraId="5338D3D4" w14:textId="77777777" w:rsidR="00000000" w:rsidRDefault="00F62566">
            <w:pPr>
              <w:pStyle w:val="Heading4"/>
              <w:tabs>
                <w:tab w:val="center" w:pos="4680"/>
                <w:tab w:val="right" w:pos="9360"/>
              </w:tabs>
              <w:spacing w:before="100" w:after="100"/>
              <w:jc w:val="right"/>
            </w:pPr>
            <w:r>
              <w:t>Host:  AT&amp;T</w:t>
            </w:r>
          </w:p>
        </w:tc>
      </w:tr>
    </w:tbl>
    <w:p w14:paraId="51FC7713" w14:textId="77777777" w:rsidR="00000000" w:rsidRDefault="00F62566"/>
    <w:p w14:paraId="5D70FB3A" w14:textId="77777777" w:rsidR="00000000" w:rsidRDefault="00F62566">
      <w:pPr>
        <w:pStyle w:val="Heading8"/>
        <w:tabs>
          <w:tab w:val="right" w:pos="9180"/>
        </w:tabs>
        <w:rPr>
          <w:rFonts w:ascii="Arial" w:hAnsi="Arial"/>
          <w:b w:val="0"/>
        </w:rPr>
      </w:pPr>
      <w:r>
        <w:rPr>
          <w:rFonts w:ascii="Arial" w:hAnsi="Arial"/>
        </w:rPr>
        <w:t>Wednesday, June 12, 2002 – 8</w:t>
      </w:r>
      <w:r>
        <w:rPr>
          <w:rFonts w:ascii="Arial" w:hAnsi="Arial"/>
          <w:noProof/>
        </w:rPr>
        <w:t>:30 AM – 5:00 PM</w:t>
      </w:r>
      <w:r>
        <w:rPr>
          <w:rFonts w:ascii="Arial" w:hAnsi="Arial"/>
          <w:b w:val="0"/>
        </w:rPr>
        <w:t xml:space="preserve">  </w:t>
      </w:r>
    </w:p>
    <w:p w14:paraId="5262CC6A" w14:textId="77777777" w:rsidR="00000000" w:rsidRDefault="00F62566">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2582"/>
        <w:gridCol w:w="8"/>
        <w:gridCol w:w="2590"/>
        <w:gridCol w:w="12"/>
      </w:tblGrid>
      <w:tr w:rsidR="00000000" w14:paraId="0351BB9B" w14:textId="77777777">
        <w:tblPrEx>
          <w:tblCellMar>
            <w:top w:w="0" w:type="dxa"/>
            <w:bottom w:w="0" w:type="dxa"/>
          </w:tblCellMar>
        </w:tblPrEx>
        <w:trPr>
          <w:trHeight w:val="305"/>
        </w:trPr>
        <w:tc>
          <w:tcPr>
            <w:tcW w:w="1668" w:type="dxa"/>
            <w:shd w:val="solid" w:color="000080" w:fill="FFFFFF"/>
          </w:tcPr>
          <w:p w14:paraId="3348F160" w14:textId="77777777" w:rsidR="00000000" w:rsidRDefault="00F62566">
            <w:pPr>
              <w:rPr>
                <w:b/>
                <w:color w:val="FFFFFF"/>
              </w:rPr>
            </w:pPr>
            <w:r>
              <w:rPr>
                <w:b/>
                <w:color w:val="FFFFFF"/>
              </w:rPr>
              <w:t>Name</w:t>
            </w:r>
          </w:p>
        </w:tc>
        <w:tc>
          <w:tcPr>
            <w:tcW w:w="2590" w:type="dxa"/>
            <w:shd w:val="solid" w:color="000080" w:fill="FFFFFF"/>
          </w:tcPr>
          <w:p w14:paraId="1060B4D0" w14:textId="77777777" w:rsidR="00000000" w:rsidRDefault="00F62566">
            <w:pPr>
              <w:rPr>
                <w:b/>
                <w:color w:val="FFFFFF"/>
              </w:rPr>
            </w:pPr>
            <w:r>
              <w:rPr>
                <w:b/>
                <w:color w:val="FFFFFF"/>
              </w:rPr>
              <w:t>Company</w:t>
            </w:r>
          </w:p>
        </w:tc>
        <w:tc>
          <w:tcPr>
            <w:tcW w:w="2582" w:type="dxa"/>
            <w:shd w:val="solid" w:color="000080" w:fill="FFFFFF"/>
          </w:tcPr>
          <w:p w14:paraId="6905473B" w14:textId="77777777" w:rsidR="00000000" w:rsidRDefault="00F62566">
            <w:pPr>
              <w:rPr>
                <w:b/>
                <w:color w:val="FFFFFF"/>
              </w:rPr>
            </w:pPr>
            <w:r>
              <w:rPr>
                <w:b/>
                <w:color w:val="FFFFFF"/>
              </w:rPr>
              <w:t>Name</w:t>
            </w:r>
          </w:p>
        </w:tc>
        <w:tc>
          <w:tcPr>
            <w:tcW w:w="2610" w:type="dxa"/>
            <w:gridSpan w:val="3"/>
            <w:shd w:val="solid" w:color="000080" w:fill="FFFFFF"/>
          </w:tcPr>
          <w:p w14:paraId="0A8AA111" w14:textId="77777777" w:rsidR="00000000" w:rsidRDefault="00F62566">
            <w:pPr>
              <w:rPr>
                <w:b/>
                <w:color w:val="FFFFFF"/>
              </w:rPr>
            </w:pPr>
            <w:r>
              <w:rPr>
                <w:b/>
                <w:color w:val="FFFFFF"/>
              </w:rPr>
              <w:t>Company</w:t>
            </w:r>
          </w:p>
        </w:tc>
      </w:tr>
      <w:tr w:rsidR="00000000" w14:paraId="5FED935A" w14:textId="77777777">
        <w:tblPrEx>
          <w:tblCellMar>
            <w:top w:w="0" w:type="dxa"/>
            <w:bottom w:w="0" w:type="dxa"/>
          </w:tblCellMar>
        </w:tblPrEx>
        <w:trPr>
          <w:gridAfter w:val="1"/>
          <w:wAfter w:w="12" w:type="dxa"/>
          <w:trHeight w:val="319"/>
        </w:trPr>
        <w:tc>
          <w:tcPr>
            <w:tcW w:w="1668" w:type="dxa"/>
          </w:tcPr>
          <w:p w14:paraId="7196E626" w14:textId="77777777" w:rsidR="00000000" w:rsidRDefault="00F62566">
            <w:r>
              <w:t xml:space="preserve">H.L. Gowda </w:t>
            </w:r>
          </w:p>
        </w:tc>
        <w:tc>
          <w:tcPr>
            <w:tcW w:w="2590" w:type="dxa"/>
          </w:tcPr>
          <w:p w14:paraId="45082C87" w14:textId="77777777" w:rsidR="00000000" w:rsidRDefault="00F62566">
            <w:r>
              <w:t>AT&amp;T</w:t>
            </w:r>
          </w:p>
        </w:tc>
        <w:tc>
          <w:tcPr>
            <w:tcW w:w="2590" w:type="dxa"/>
            <w:gridSpan w:val="2"/>
          </w:tcPr>
          <w:p w14:paraId="65A11706" w14:textId="77777777" w:rsidR="00000000" w:rsidRDefault="00F62566">
            <w:pPr>
              <w:tabs>
                <w:tab w:val="right" w:pos="2116"/>
              </w:tabs>
            </w:pPr>
            <w:r>
              <w:t>Barry Bishop</w:t>
            </w:r>
          </w:p>
        </w:tc>
        <w:tc>
          <w:tcPr>
            <w:tcW w:w="2590" w:type="dxa"/>
          </w:tcPr>
          <w:p w14:paraId="6FFD352B" w14:textId="77777777" w:rsidR="00000000" w:rsidRDefault="00F62566">
            <w:r>
              <w:t>NeuStar (phone)</w:t>
            </w:r>
          </w:p>
        </w:tc>
      </w:tr>
      <w:tr w:rsidR="00000000" w14:paraId="19028903" w14:textId="77777777">
        <w:tblPrEx>
          <w:tblCellMar>
            <w:top w:w="0" w:type="dxa"/>
            <w:bottom w:w="0" w:type="dxa"/>
          </w:tblCellMar>
        </w:tblPrEx>
        <w:trPr>
          <w:gridAfter w:val="1"/>
          <w:wAfter w:w="12" w:type="dxa"/>
          <w:trHeight w:val="265"/>
        </w:trPr>
        <w:tc>
          <w:tcPr>
            <w:tcW w:w="1668" w:type="dxa"/>
          </w:tcPr>
          <w:p w14:paraId="383AD0B7" w14:textId="77777777" w:rsidR="00000000" w:rsidRDefault="00F62566">
            <w:r>
              <w:t>Paul LaGattuta</w:t>
            </w:r>
          </w:p>
        </w:tc>
        <w:tc>
          <w:tcPr>
            <w:tcW w:w="2590" w:type="dxa"/>
          </w:tcPr>
          <w:p w14:paraId="4365E156" w14:textId="77777777" w:rsidR="00000000" w:rsidRDefault="00F62566">
            <w:r>
              <w:t>AT&amp;T</w:t>
            </w:r>
          </w:p>
        </w:tc>
        <w:tc>
          <w:tcPr>
            <w:tcW w:w="2590" w:type="dxa"/>
            <w:gridSpan w:val="2"/>
          </w:tcPr>
          <w:p w14:paraId="36826673" w14:textId="77777777" w:rsidR="00000000" w:rsidRDefault="00F62566">
            <w:r>
              <w:t>Rosemary Emmer</w:t>
            </w:r>
          </w:p>
        </w:tc>
        <w:tc>
          <w:tcPr>
            <w:tcW w:w="2590" w:type="dxa"/>
          </w:tcPr>
          <w:p w14:paraId="43A12B2F" w14:textId="77777777" w:rsidR="00000000" w:rsidRDefault="00F62566">
            <w:r>
              <w:t>Nextel (phone)</w:t>
            </w:r>
          </w:p>
        </w:tc>
      </w:tr>
      <w:tr w:rsidR="00000000" w14:paraId="2BC5B247" w14:textId="77777777">
        <w:tblPrEx>
          <w:tblCellMar>
            <w:top w:w="0" w:type="dxa"/>
            <w:bottom w:w="0" w:type="dxa"/>
          </w:tblCellMar>
        </w:tblPrEx>
        <w:trPr>
          <w:gridAfter w:val="1"/>
          <w:wAfter w:w="12" w:type="dxa"/>
          <w:trHeight w:val="319"/>
        </w:trPr>
        <w:tc>
          <w:tcPr>
            <w:tcW w:w="1668" w:type="dxa"/>
          </w:tcPr>
          <w:p w14:paraId="114EF0E3" w14:textId="77777777" w:rsidR="00000000" w:rsidRDefault="00F62566">
            <w:r>
              <w:t>Lonnie Keck</w:t>
            </w:r>
          </w:p>
        </w:tc>
        <w:tc>
          <w:tcPr>
            <w:tcW w:w="2590" w:type="dxa"/>
          </w:tcPr>
          <w:p w14:paraId="1C7C022B" w14:textId="77777777" w:rsidR="00000000" w:rsidRDefault="00F62566">
            <w:r>
              <w:t>ATTWS (phone)</w:t>
            </w:r>
          </w:p>
        </w:tc>
        <w:tc>
          <w:tcPr>
            <w:tcW w:w="2590" w:type="dxa"/>
            <w:gridSpan w:val="2"/>
          </w:tcPr>
          <w:p w14:paraId="5C6BECF5" w14:textId="77777777" w:rsidR="00000000" w:rsidRDefault="00F62566">
            <w:r>
              <w:t>Cheryl Ha</w:t>
            </w:r>
            <w:r>
              <w:t>ynes</w:t>
            </w:r>
          </w:p>
        </w:tc>
        <w:tc>
          <w:tcPr>
            <w:tcW w:w="2590" w:type="dxa"/>
          </w:tcPr>
          <w:p w14:paraId="336E5BD4" w14:textId="77777777" w:rsidR="00000000" w:rsidRDefault="00F62566">
            <w:r>
              <w:t>NUVOX</w:t>
            </w:r>
          </w:p>
        </w:tc>
      </w:tr>
      <w:tr w:rsidR="00000000" w14:paraId="04762862" w14:textId="77777777">
        <w:tblPrEx>
          <w:tblCellMar>
            <w:top w:w="0" w:type="dxa"/>
            <w:bottom w:w="0" w:type="dxa"/>
          </w:tblCellMar>
        </w:tblPrEx>
        <w:trPr>
          <w:gridAfter w:val="1"/>
          <w:wAfter w:w="12" w:type="dxa"/>
          <w:trHeight w:val="319"/>
        </w:trPr>
        <w:tc>
          <w:tcPr>
            <w:tcW w:w="1668" w:type="dxa"/>
          </w:tcPr>
          <w:p w14:paraId="5A551499" w14:textId="77777777" w:rsidR="00000000" w:rsidRDefault="00F62566">
            <w:r>
              <w:t>Ron Steen</w:t>
            </w:r>
          </w:p>
        </w:tc>
        <w:tc>
          <w:tcPr>
            <w:tcW w:w="2590" w:type="dxa"/>
          </w:tcPr>
          <w:p w14:paraId="0D042460" w14:textId="77777777" w:rsidR="00000000" w:rsidRDefault="00F62566">
            <w:r>
              <w:t xml:space="preserve">BellSouth </w:t>
            </w:r>
          </w:p>
        </w:tc>
        <w:tc>
          <w:tcPr>
            <w:tcW w:w="2590" w:type="dxa"/>
            <w:gridSpan w:val="2"/>
          </w:tcPr>
          <w:p w14:paraId="72F434D7" w14:textId="77777777" w:rsidR="00000000" w:rsidRDefault="00F62566">
            <w:pPr>
              <w:tabs>
                <w:tab w:val="right" w:pos="2116"/>
              </w:tabs>
            </w:pPr>
            <w:r>
              <w:t xml:space="preserve">Dave Garner </w:t>
            </w:r>
          </w:p>
        </w:tc>
        <w:tc>
          <w:tcPr>
            <w:tcW w:w="2590" w:type="dxa"/>
          </w:tcPr>
          <w:p w14:paraId="1D9BFE44" w14:textId="77777777" w:rsidR="00000000" w:rsidRDefault="00F62566">
            <w:r>
              <w:t>Qwest (phone)</w:t>
            </w:r>
          </w:p>
        </w:tc>
      </w:tr>
      <w:tr w:rsidR="00000000" w14:paraId="556883D6" w14:textId="77777777">
        <w:tblPrEx>
          <w:tblCellMar>
            <w:top w:w="0" w:type="dxa"/>
            <w:bottom w:w="0" w:type="dxa"/>
          </w:tblCellMar>
        </w:tblPrEx>
        <w:trPr>
          <w:gridAfter w:val="1"/>
          <w:wAfter w:w="12" w:type="dxa"/>
          <w:trHeight w:val="290"/>
        </w:trPr>
        <w:tc>
          <w:tcPr>
            <w:tcW w:w="1668" w:type="dxa"/>
          </w:tcPr>
          <w:p w14:paraId="43F7FB7D" w14:textId="77777777" w:rsidR="00000000" w:rsidRDefault="00F62566">
            <w:r>
              <w:t>Dave Cochran</w:t>
            </w:r>
          </w:p>
        </w:tc>
        <w:tc>
          <w:tcPr>
            <w:tcW w:w="2590" w:type="dxa"/>
          </w:tcPr>
          <w:p w14:paraId="1B77B39E" w14:textId="77777777" w:rsidR="00000000" w:rsidRDefault="00F62566">
            <w:r>
              <w:t xml:space="preserve">BellSouth </w:t>
            </w:r>
          </w:p>
        </w:tc>
        <w:tc>
          <w:tcPr>
            <w:tcW w:w="2590" w:type="dxa"/>
            <w:gridSpan w:val="2"/>
          </w:tcPr>
          <w:p w14:paraId="5A3279A2" w14:textId="77777777" w:rsidR="00000000" w:rsidRDefault="00F62566">
            <w:r>
              <w:t>Charles Ryburn</w:t>
            </w:r>
          </w:p>
        </w:tc>
        <w:tc>
          <w:tcPr>
            <w:tcW w:w="2590" w:type="dxa"/>
          </w:tcPr>
          <w:p w14:paraId="5D710F65" w14:textId="77777777" w:rsidR="00000000" w:rsidRDefault="00F62566">
            <w:r>
              <w:t>SBC</w:t>
            </w:r>
          </w:p>
        </w:tc>
      </w:tr>
      <w:tr w:rsidR="00000000" w14:paraId="1BA3E98F" w14:textId="77777777">
        <w:tblPrEx>
          <w:tblCellMar>
            <w:top w:w="0" w:type="dxa"/>
            <w:bottom w:w="0" w:type="dxa"/>
          </w:tblCellMar>
        </w:tblPrEx>
        <w:trPr>
          <w:gridAfter w:val="1"/>
          <w:wAfter w:w="12" w:type="dxa"/>
          <w:trHeight w:val="319"/>
        </w:trPr>
        <w:tc>
          <w:tcPr>
            <w:tcW w:w="1668" w:type="dxa"/>
          </w:tcPr>
          <w:p w14:paraId="25968308" w14:textId="77777777" w:rsidR="00000000" w:rsidRDefault="00F62566">
            <w:r>
              <w:t>Marian Hearn</w:t>
            </w:r>
          </w:p>
        </w:tc>
        <w:tc>
          <w:tcPr>
            <w:tcW w:w="2590" w:type="dxa"/>
          </w:tcPr>
          <w:p w14:paraId="1A2D9F07" w14:textId="77777777" w:rsidR="00000000" w:rsidRDefault="00F62566">
            <w:r>
              <w:t>Canadian LLC</w:t>
            </w:r>
          </w:p>
        </w:tc>
        <w:tc>
          <w:tcPr>
            <w:tcW w:w="2590" w:type="dxa"/>
            <w:gridSpan w:val="2"/>
          </w:tcPr>
          <w:p w14:paraId="633A9034" w14:textId="77777777" w:rsidR="00000000" w:rsidRDefault="00F62566">
            <w:r>
              <w:t>Leah Luper</w:t>
            </w:r>
          </w:p>
        </w:tc>
        <w:tc>
          <w:tcPr>
            <w:tcW w:w="2590" w:type="dxa"/>
          </w:tcPr>
          <w:p w14:paraId="58BB11BA" w14:textId="77777777" w:rsidR="00000000" w:rsidRDefault="00F62566">
            <w:r>
              <w:t xml:space="preserve">SBC </w:t>
            </w:r>
          </w:p>
        </w:tc>
      </w:tr>
      <w:tr w:rsidR="00000000" w14:paraId="64B8C42C" w14:textId="77777777">
        <w:tblPrEx>
          <w:tblCellMar>
            <w:top w:w="0" w:type="dxa"/>
            <w:bottom w:w="0" w:type="dxa"/>
          </w:tblCellMar>
        </w:tblPrEx>
        <w:trPr>
          <w:gridAfter w:val="1"/>
          <w:wAfter w:w="12" w:type="dxa"/>
          <w:trHeight w:val="330"/>
        </w:trPr>
        <w:tc>
          <w:tcPr>
            <w:tcW w:w="1668" w:type="dxa"/>
          </w:tcPr>
          <w:p w14:paraId="7A43D662" w14:textId="77777777" w:rsidR="00000000" w:rsidRDefault="00F62566">
            <w:r>
              <w:t>James Grasser</w:t>
            </w:r>
          </w:p>
        </w:tc>
        <w:tc>
          <w:tcPr>
            <w:tcW w:w="2590" w:type="dxa"/>
          </w:tcPr>
          <w:p w14:paraId="178459BA" w14:textId="77777777" w:rsidR="00000000" w:rsidRDefault="00F62566">
            <w:r>
              <w:t>Cingular Wireless</w:t>
            </w:r>
          </w:p>
        </w:tc>
        <w:tc>
          <w:tcPr>
            <w:tcW w:w="2590" w:type="dxa"/>
            <w:gridSpan w:val="2"/>
          </w:tcPr>
          <w:p w14:paraId="4B72EC3E" w14:textId="77777777" w:rsidR="00000000" w:rsidRDefault="00F62566">
            <w:r>
              <w:t>Jeff Adrian</w:t>
            </w:r>
          </w:p>
        </w:tc>
        <w:tc>
          <w:tcPr>
            <w:tcW w:w="2590" w:type="dxa"/>
          </w:tcPr>
          <w:p w14:paraId="12DDDECB" w14:textId="77777777" w:rsidR="00000000" w:rsidRDefault="00F62566">
            <w:r>
              <w:t>Sprint</w:t>
            </w:r>
          </w:p>
        </w:tc>
      </w:tr>
      <w:tr w:rsidR="00000000" w14:paraId="5D66BE15" w14:textId="77777777">
        <w:tblPrEx>
          <w:tblCellMar>
            <w:top w:w="0" w:type="dxa"/>
            <w:bottom w:w="0" w:type="dxa"/>
          </w:tblCellMar>
        </w:tblPrEx>
        <w:trPr>
          <w:gridAfter w:val="1"/>
          <w:wAfter w:w="12" w:type="dxa"/>
          <w:trHeight w:val="290"/>
        </w:trPr>
        <w:tc>
          <w:tcPr>
            <w:tcW w:w="1668" w:type="dxa"/>
          </w:tcPr>
          <w:p w14:paraId="1F4AAF31" w14:textId="77777777" w:rsidR="00000000" w:rsidRDefault="00F62566">
            <w:r>
              <w:t>Monica Dahmen</w:t>
            </w:r>
          </w:p>
        </w:tc>
        <w:tc>
          <w:tcPr>
            <w:tcW w:w="2590" w:type="dxa"/>
          </w:tcPr>
          <w:p w14:paraId="0F2FB129" w14:textId="77777777" w:rsidR="00000000" w:rsidRDefault="00F62566">
            <w:r>
              <w:t>Cox Communications</w:t>
            </w:r>
          </w:p>
        </w:tc>
        <w:tc>
          <w:tcPr>
            <w:tcW w:w="2590" w:type="dxa"/>
            <w:gridSpan w:val="2"/>
          </w:tcPr>
          <w:p w14:paraId="33AC3AE0" w14:textId="77777777" w:rsidR="00000000" w:rsidRDefault="00F62566">
            <w:r>
              <w:t>Kathleen Tedrick</w:t>
            </w:r>
          </w:p>
        </w:tc>
        <w:tc>
          <w:tcPr>
            <w:tcW w:w="2590" w:type="dxa"/>
          </w:tcPr>
          <w:p w14:paraId="715B7A10" w14:textId="77777777" w:rsidR="00000000" w:rsidRDefault="00F62566">
            <w:r>
              <w:t>Sprint</w:t>
            </w:r>
            <w:r>
              <w:t xml:space="preserve"> (phone) </w:t>
            </w:r>
          </w:p>
        </w:tc>
      </w:tr>
      <w:tr w:rsidR="00000000" w14:paraId="43AA6C21" w14:textId="77777777">
        <w:tblPrEx>
          <w:tblCellMar>
            <w:top w:w="0" w:type="dxa"/>
            <w:bottom w:w="0" w:type="dxa"/>
          </w:tblCellMar>
        </w:tblPrEx>
        <w:trPr>
          <w:gridAfter w:val="1"/>
          <w:wAfter w:w="12" w:type="dxa"/>
          <w:trHeight w:val="290"/>
        </w:trPr>
        <w:tc>
          <w:tcPr>
            <w:tcW w:w="1668" w:type="dxa"/>
          </w:tcPr>
          <w:p w14:paraId="499718A6" w14:textId="77777777" w:rsidR="00000000" w:rsidRDefault="00F62566">
            <w:r>
              <w:t>Ron Stutheit</w:t>
            </w:r>
          </w:p>
        </w:tc>
        <w:tc>
          <w:tcPr>
            <w:tcW w:w="2590" w:type="dxa"/>
          </w:tcPr>
          <w:p w14:paraId="44997D29" w14:textId="77777777" w:rsidR="00000000" w:rsidRDefault="00F62566">
            <w:r>
              <w:t>ESI</w:t>
            </w:r>
          </w:p>
        </w:tc>
        <w:tc>
          <w:tcPr>
            <w:tcW w:w="2590" w:type="dxa"/>
            <w:gridSpan w:val="2"/>
          </w:tcPr>
          <w:p w14:paraId="4F63541A" w14:textId="77777777" w:rsidR="00000000" w:rsidRDefault="00F62566">
            <w:r>
              <w:t>Colleen Collard</w:t>
            </w:r>
          </w:p>
        </w:tc>
        <w:tc>
          <w:tcPr>
            <w:tcW w:w="2590" w:type="dxa"/>
          </w:tcPr>
          <w:p w14:paraId="309E4ADA" w14:textId="77777777" w:rsidR="00000000" w:rsidRDefault="00F62566">
            <w:r>
              <w:t xml:space="preserve">Tekelec </w:t>
            </w:r>
          </w:p>
        </w:tc>
      </w:tr>
      <w:tr w:rsidR="00000000" w14:paraId="205623DF" w14:textId="77777777">
        <w:tblPrEx>
          <w:tblCellMar>
            <w:top w:w="0" w:type="dxa"/>
            <w:bottom w:w="0" w:type="dxa"/>
          </w:tblCellMar>
        </w:tblPrEx>
        <w:trPr>
          <w:gridAfter w:val="1"/>
          <w:wAfter w:w="12" w:type="dxa"/>
          <w:trHeight w:val="290"/>
        </w:trPr>
        <w:tc>
          <w:tcPr>
            <w:tcW w:w="1668" w:type="dxa"/>
          </w:tcPr>
          <w:p w14:paraId="7C030D25" w14:textId="77777777" w:rsidR="00000000" w:rsidRDefault="00F62566">
            <w:r>
              <w:t>Maggie Lee</w:t>
            </w:r>
          </w:p>
        </w:tc>
        <w:tc>
          <w:tcPr>
            <w:tcW w:w="2590" w:type="dxa"/>
          </w:tcPr>
          <w:p w14:paraId="1C1C3882" w14:textId="77777777" w:rsidR="00000000" w:rsidRDefault="00F62566">
            <w:r>
              <w:t>VeriSign</w:t>
            </w:r>
          </w:p>
        </w:tc>
        <w:tc>
          <w:tcPr>
            <w:tcW w:w="2590" w:type="dxa"/>
            <w:gridSpan w:val="2"/>
          </w:tcPr>
          <w:p w14:paraId="01B094A5" w14:textId="77777777" w:rsidR="00000000" w:rsidRDefault="00F62566">
            <w:r>
              <w:t xml:space="preserve">John P. Malyar </w:t>
            </w:r>
          </w:p>
        </w:tc>
        <w:tc>
          <w:tcPr>
            <w:tcW w:w="2590" w:type="dxa"/>
          </w:tcPr>
          <w:p w14:paraId="6E432101" w14:textId="77777777" w:rsidR="00000000" w:rsidRDefault="00F62566">
            <w:r>
              <w:t>Telcordia Technologies</w:t>
            </w:r>
          </w:p>
        </w:tc>
      </w:tr>
      <w:tr w:rsidR="00000000" w14:paraId="21459006" w14:textId="77777777">
        <w:tblPrEx>
          <w:tblCellMar>
            <w:top w:w="0" w:type="dxa"/>
            <w:bottom w:w="0" w:type="dxa"/>
          </w:tblCellMar>
        </w:tblPrEx>
        <w:trPr>
          <w:gridAfter w:val="1"/>
          <w:wAfter w:w="12" w:type="dxa"/>
          <w:trHeight w:val="290"/>
        </w:trPr>
        <w:tc>
          <w:tcPr>
            <w:tcW w:w="1668" w:type="dxa"/>
          </w:tcPr>
          <w:p w14:paraId="23AAD9D6" w14:textId="77777777" w:rsidR="00000000" w:rsidRDefault="00F62566">
            <w:r>
              <w:t>Rick Jones</w:t>
            </w:r>
          </w:p>
        </w:tc>
        <w:tc>
          <w:tcPr>
            <w:tcW w:w="2590" w:type="dxa"/>
          </w:tcPr>
          <w:p w14:paraId="6C73A694" w14:textId="77777777" w:rsidR="00000000" w:rsidRDefault="00F62566">
            <w:r>
              <w:t>NENA</w:t>
            </w:r>
          </w:p>
        </w:tc>
        <w:tc>
          <w:tcPr>
            <w:tcW w:w="2590" w:type="dxa"/>
            <w:gridSpan w:val="2"/>
          </w:tcPr>
          <w:p w14:paraId="2BCA72AE" w14:textId="77777777" w:rsidR="00000000" w:rsidRDefault="00F62566">
            <w:r>
              <w:t>Jean Anthony</w:t>
            </w:r>
          </w:p>
        </w:tc>
        <w:tc>
          <w:tcPr>
            <w:tcW w:w="2590" w:type="dxa"/>
          </w:tcPr>
          <w:p w14:paraId="109E3AE1" w14:textId="77777777" w:rsidR="00000000" w:rsidRDefault="00F62566">
            <w:r>
              <w:t xml:space="preserve">Telecom Software </w:t>
            </w:r>
          </w:p>
        </w:tc>
      </w:tr>
      <w:tr w:rsidR="00000000" w14:paraId="414ADE71" w14:textId="77777777">
        <w:tblPrEx>
          <w:tblCellMar>
            <w:top w:w="0" w:type="dxa"/>
            <w:bottom w:w="0" w:type="dxa"/>
          </w:tblCellMar>
        </w:tblPrEx>
        <w:trPr>
          <w:gridAfter w:val="1"/>
          <w:wAfter w:w="12" w:type="dxa"/>
          <w:trHeight w:val="290"/>
        </w:trPr>
        <w:tc>
          <w:tcPr>
            <w:tcW w:w="1668" w:type="dxa"/>
          </w:tcPr>
          <w:p w14:paraId="04B2F832" w14:textId="77777777" w:rsidR="00000000" w:rsidRDefault="00F62566">
            <w:r>
              <w:t>Gene Johnston</w:t>
            </w:r>
          </w:p>
        </w:tc>
        <w:tc>
          <w:tcPr>
            <w:tcW w:w="2590" w:type="dxa"/>
          </w:tcPr>
          <w:p w14:paraId="60E84A9D" w14:textId="77777777" w:rsidR="00000000" w:rsidRDefault="00F62566">
            <w:r>
              <w:t>NeuStar</w:t>
            </w:r>
          </w:p>
        </w:tc>
        <w:tc>
          <w:tcPr>
            <w:tcW w:w="2590" w:type="dxa"/>
            <w:gridSpan w:val="2"/>
          </w:tcPr>
          <w:p w14:paraId="4A834892" w14:textId="77777777" w:rsidR="00000000" w:rsidRDefault="00F62566">
            <w:r>
              <w:t>Lisa Marie Maxson</w:t>
            </w:r>
          </w:p>
        </w:tc>
        <w:tc>
          <w:tcPr>
            <w:tcW w:w="2590" w:type="dxa"/>
          </w:tcPr>
          <w:p w14:paraId="2983D338" w14:textId="77777777" w:rsidR="00000000" w:rsidRDefault="00F62566">
            <w:r>
              <w:t>Telecom Software (phone)</w:t>
            </w:r>
          </w:p>
        </w:tc>
      </w:tr>
      <w:tr w:rsidR="00000000" w14:paraId="7F4589D3" w14:textId="77777777">
        <w:tblPrEx>
          <w:tblCellMar>
            <w:top w:w="0" w:type="dxa"/>
            <w:bottom w:w="0" w:type="dxa"/>
          </w:tblCellMar>
        </w:tblPrEx>
        <w:trPr>
          <w:gridAfter w:val="1"/>
          <w:wAfter w:w="12" w:type="dxa"/>
          <w:trHeight w:val="290"/>
        </w:trPr>
        <w:tc>
          <w:tcPr>
            <w:tcW w:w="1668" w:type="dxa"/>
          </w:tcPr>
          <w:p w14:paraId="70445962" w14:textId="77777777" w:rsidR="00000000" w:rsidRDefault="00F62566">
            <w:r>
              <w:t>Jim Rooks</w:t>
            </w:r>
          </w:p>
        </w:tc>
        <w:tc>
          <w:tcPr>
            <w:tcW w:w="2590" w:type="dxa"/>
          </w:tcPr>
          <w:p w14:paraId="0925F79F" w14:textId="77777777" w:rsidR="00000000" w:rsidRDefault="00F62566">
            <w:r>
              <w:t>NeuStar</w:t>
            </w:r>
          </w:p>
        </w:tc>
        <w:tc>
          <w:tcPr>
            <w:tcW w:w="2590" w:type="dxa"/>
            <w:gridSpan w:val="2"/>
          </w:tcPr>
          <w:p w14:paraId="10993B59" w14:textId="77777777" w:rsidR="00000000" w:rsidRDefault="00F62566">
            <w:r>
              <w:t xml:space="preserve">Charlotte </w:t>
            </w:r>
            <w:r>
              <w:t>Holden</w:t>
            </w:r>
          </w:p>
        </w:tc>
        <w:tc>
          <w:tcPr>
            <w:tcW w:w="2590" w:type="dxa"/>
          </w:tcPr>
          <w:p w14:paraId="61867BBA" w14:textId="77777777" w:rsidR="00000000" w:rsidRDefault="00F62566">
            <w:r>
              <w:t>US Cellular</w:t>
            </w:r>
          </w:p>
        </w:tc>
      </w:tr>
      <w:tr w:rsidR="00000000" w14:paraId="6BD14A7B" w14:textId="77777777">
        <w:tblPrEx>
          <w:tblCellMar>
            <w:top w:w="0" w:type="dxa"/>
            <w:bottom w:w="0" w:type="dxa"/>
          </w:tblCellMar>
        </w:tblPrEx>
        <w:trPr>
          <w:gridAfter w:val="1"/>
          <w:wAfter w:w="12" w:type="dxa"/>
          <w:trHeight w:val="292"/>
        </w:trPr>
        <w:tc>
          <w:tcPr>
            <w:tcW w:w="1668" w:type="dxa"/>
          </w:tcPr>
          <w:p w14:paraId="29C55C24" w14:textId="77777777" w:rsidR="00000000" w:rsidRDefault="00F62566">
            <w:r>
              <w:t>John Nakamura</w:t>
            </w:r>
          </w:p>
        </w:tc>
        <w:tc>
          <w:tcPr>
            <w:tcW w:w="2590" w:type="dxa"/>
          </w:tcPr>
          <w:p w14:paraId="136C878E" w14:textId="77777777" w:rsidR="00000000" w:rsidRDefault="00F62566">
            <w:r>
              <w:t>NeuStar</w:t>
            </w:r>
          </w:p>
        </w:tc>
        <w:tc>
          <w:tcPr>
            <w:tcW w:w="2590" w:type="dxa"/>
            <w:gridSpan w:val="2"/>
          </w:tcPr>
          <w:p w14:paraId="45990816" w14:textId="77777777" w:rsidR="00000000" w:rsidRDefault="00F62566">
            <w:r>
              <w:t>Gary Sacra</w:t>
            </w:r>
          </w:p>
        </w:tc>
        <w:tc>
          <w:tcPr>
            <w:tcW w:w="2590" w:type="dxa"/>
          </w:tcPr>
          <w:p w14:paraId="1AD801FF" w14:textId="77777777" w:rsidR="00000000" w:rsidRDefault="00F62566">
            <w:r>
              <w:t>Verizon</w:t>
            </w:r>
          </w:p>
        </w:tc>
      </w:tr>
      <w:tr w:rsidR="00000000" w14:paraId="4E503575" w14:textId="77777777">
        <w:tblPrEx>
          <w:tblCellMar>
            <w:top w:w="0" w:type="dxa"/>
            <w:bottom w:w="0" w:type="dxa"/>
          </w:tblCellMar>
        </w:tblPrEx>
        <w:trPr>
          <w:gridAfter w:val="1"/>
          <w:wAfter w:w="12" w:type="dxa"/>
          <w:trHeight w:val="290"/>
        </w:trPr>
        <w:tc>
          <w:tcPr>
            <w:tcW w:w="1668" w:type="dxa"/>
          </w:tcPr>
          <w:p w14:paraId="57234F63" w14:textId="77777777" w:rsidR="00000000" w:rsidRDefault="00F62566">
            <w:r>
              <w:t>Larry Vagnoni</w:t>
            </w:r>
          </w:p>
        </w:tc>
        <w:tc>
          <w:tcPr>
            <w:tcW w:w="2590" w:type="dxa"/>
          </w:tcPr>
          <w:p w14:paraId="00A968CD" w14:textId="77777777" w:rsidR="00000000" w:rsidRDefault="00F62566">
            <w:r>
              <w:t>NeuStar</w:t>
            </w:r>
          </w:p>
        </w:tc>
        <w:tc>
          <w:tcPr>
            <w:tcW w:w="2590" w:type="dxa"/>
            <w:gridSpan w:val="2"/>
          </w:tcPr>
          <w:p w14:paraId="7E264029" w14:textId="77777777" w:rsidR="00000000" w:rsidRDefault="00F62566">
            <w:r>
              <w:t>Jason Lee</w:t>
            </w:r>
          </w:p>
        </w:tc>
        <w:tc>
          <w:tcPr>
            <w:tcW w:w="2590" w:type="dxa"/>
          </w:tcPr>
          <w:p w14:paraId="1C784DDF" w14:textId="77777777" w:rsidR="00000000" w:rsidRDefault="00F62566">
            <w:r>
              <w:t xml:space="preserve">WorldCom </w:t>
            </w:r>
          </w:p>
        </w:tc>
      </w:tr>
      <w:tr w:rsidR="00000000" w14:paraId="70C67431" w14:textId="77777777">
        <w:tblPrEx>
          <w:tblCellMar>
            <w:top w:w="0" w:type="dxa"/>
            <w:bottom w:w="0" w:type="dxa"/>
          </w:tblCellMar>
        </w:tblPrEx>
        <w:trPr>
          <w:gridAfter w:val="1"/>
          <w:wAfter w:w="12" w:type="dxa"/>
          <w:trHeight w:val="290"/>
        </w:trPr>
        <w:tc>
          <w:tcPr>
            <w:tcW w:w="1668" w:type="dxa"/>
          </w:tcPr>
          <w:p w14:paraId="761FB459" w14:textId="77777777" w:rsidR="00000000" w:rsidRDefault="00F62566">
            <w:r>
              <w:t>Marcel Champagne</w:t>
            </w:r>
          </w:p>
        </w:tc>
        <w:tc>
          <w:tcPr>
            <w:tcW w:w="2590" w:type="dxa"/>
          </w:tcPr>
          <w:p w14:paraId="3956BB49" w14:textId="77777777" w:rsidR="00000000" w:rsidRDefault="00F62566">
            <w:r>
              <w:t>NeuStar</w:t>
            </w:r>
          </w:p>
        </w:tc>
        <w:tc>
          <w:tcPr>
            <w:tcW w:w="2590" w:type="dxa"/>
            <w:gridSpan w:val="2"/>
          </w:tcPr>
          <w:p w14:paraId="4F5BAA39" w14:textId="77777777" w:rsidR="00000000" w:rsidRDefault="00F62566">
            <w:r>
              <w:t>Steve Addicks</w:t>
            </w:r>
          </w:p>
        </w:tc>
        <w:tc>
          <w:tcPr>
            <w:tcW w:w="2590" w:type="dxa"/>
          </w:tcPr>
          <w:p w14:paraId="0A9E2A39" w14:textId="77777777" w:rsidR="00000000" w:rsidRDefault="00F62566">
            <w:r>
              <w:t>WorldCom</w:t>
            </w:r>
          </w:p>
        </w:tc>
      </w:tr>
      <w:tr w:rsidR="00000000" w14:paraId="60E3F3E4" w14:textId="77777777">
        <w:tblPrEx>
          <w:tblCellMar>
            <w:top w:w="0" w:type="dxa"/>
            <w:bottom w:w="0" w:type="dxa"/>
          </w:tblCellMar>
        </w:tblPrEx>
        <w:trPr>
          <w:gridAfter w:val="1"/>
          <w:wAfter w:w="12" w:type="dxa"/>
          <w:trHeight w:val="75"/>
        </w:trPr>
        <w:tc>
          <w:tcPr>
            <w:tcW w:w="1668" w:type="dxa"/>
          </w:tcPr>
          <w:p w14:paraId="08647171" w14:textId="77777777" w:rsidR="00000000" w:rsidRDefault="00F62566">
            <w:r>
              <w:t>Rob Coffman</w:t>
            </w:r>
          </w:p>
        </w:tc>
        <w:tc>
          <w:tcPr>
            <w:tcW w:w="2590" w:type="dxa"/>
          </w:tcPr>
          <w:p w14:paraId="1060B66C" w14:textId="77777777" w:rsidR="00000000" w:rsidRDefault="00F62566">
            <w:r>
              <w:t>NeuStar</w:t>
            </w:r>
          </w:p>
        </w:tc>
        <w:tc>
          <w:tcPr>
            <w:tcW w:w="2590" w:type="dxa"/>
            <w:gridSpan w:val="2"/>
          </w:tcPr>
          <w:p w14:paraId="694313D1" w14:textId="77777777" w:rsidR="00000000" w:rsidRDefault="00F62566"/>
        </w:tc>
        <w:tc>
          <w:tcPr>
            <w:tcW w:w="2590" w:type="dxa"/>
          </w:tcPr>
          <w:p w14:paraId="4D5C16CF" w14:textId="77777777" w:rsidR="00000000" w:rsidRDefault="00F62566"/>
        </w:tc>
      </w:tr>
    </w:tbl>
    <w:p w14:paraId="241052DD" w14:textId="77777777" w:rsidR="00000000" w:rsidRDefault="00F62566">
      <w:pPr>
        <w:spacing w:before="160"/>
        <w:rPr>
          <w:b/>
          <w:color w:val="000000"/>
          <w:sz w:val="24"/>
          <w:u w:val="single"/>
        </w:rPr>
      </w:pPr>
      <w:r>
        <w:rPr>
          <w:b/>
          <w:color w:val="000000"/>
          <w:sz w:val="24"/>
          <w:u w:val="single"/>
        </w:rPr>
        <w:t>Review of Previous Month’s Minutes:</w:t>
      </w:r>
    </w:p>
    <w:p w14:paraId="2147A461" w14:textId="77777777" w:rsidR="00000000" w:rsidRDefault="00F62566">
      <w:pPr>
        <w:rPr>
          <w:sz w:val="24"/>
        </w:rPr>
      </w:pPr>
    </w:p>
    <w:p w14:paraId="5479EAA3" w14:textId="77777777" w:rsidR="00000000" w:rsidRDefault="00F62566">
      <w:r>
        <w:t>The team reviewed the May minutes.  The fo</w:t>
      </w:r>
      <w:r>
        <w:t>llowing changes were made:</w:t>
      </w:r>
    </w:p>
    <w:p w14:paraId="642B6167" w14:textId="77777777" w:rsidR="00000000" w:rsidRDefault="00F62566"/>
    <w:p w14:paraId="6F44A5B9" w14:textId="77777777" w:rsidR="00000000" w:rsidRDefault="00F62566" w:rsidP="00F62566">
      <w:pPr>
        <w:numPr>
          <w:ilvl w:val="0"/>
          <w:numId w:val="10"/>
        </w:numPr>
      </w:pPr>
      <w:r>
        <w:t>On page 2, in the 3</w:t>
      </w:r>
      <w:r>
        <w:rPr>
          <w:vertAlign w:val="superscript"/>
        </w:rPr>
        <w:t>rd</w:t>
      </w:r>
      <w:r>
        <w:t xml:space="preserve"> bullet, strike the 3</w:t>
      </w:r>
      <w:r>
        <w:rPr>
          <w:vertAlign w:val="superscript"/>
        </w:rPr>
        <w:t>rd</w:t>
      </w:r>
      <w:r>
        <w:t xml:space="preserve"> sentence (“It was revealed that NPAC can only send as fast as the slowest downstream LSMS can accept.).</w:t>
      </w:r>
    </w:p>
    <w:p w14:paraId="3796AD55" w14:textId="77777777" w:rsidR="00000000" w:rsidRDefault="00F62566"/>
    <w:p w14:paraId="2A846AED" w14:textId="77777777" w:rsidR="00000000" w:rsidRDefault="00F62566" w:rsidP="00F62566">
      <w:pPr>
        <w:pStyle w:val="BodyText"/>
        <w:numPr>
          <w:ilvl w:val="0"/>
          <w:numId w:val="11"/>
        </w:numPr>
      </w:pPr>
      <w:r>
        <w:t>On page 2, under WNPO Subcommittee Report, 1</w:t>
      </w:r>
      <w:r>
        <w:rPr>
          <w:vertAlign w:val="superscript"/>
        </w:rPr>
        <w:t>st</w:t>
      </w:r>
      <w:r>
        <w:t xml:space="preserve"> bullet for Migration of Type 1 </w:t>
      </w:r>
      <w:r>
        <w:t>Cellular, change 2</w:t>
      </w:r>
      <w:r>
        <w:rPr>
          <w:vertAlign w:val="superscript"/>
        </w:rPr>
        <w:t>nd</w:t>
      </w:r>
      <w:r>
        <w:t xml:space="preserve"> sentence (“Attached is the current proposal submitted by Bell South.”), to read, “</w:t>
      </w:r>
      <w:r>
        <w:rPr>
          <w:color w:val="FF0000"/>
        </w:rPr>
        <w:t>Attached is the current proposal submitted by the WNPO</w:t>
      </w:r>
      <w:r>
        <w:t>.”</w:t>
      </w:r>
    </w:p>
    <w:p w14:paraId="3506BFCB" w14:textId="77777777" w:rsidR="00000000" w:rsidRDefault="00F62566">
      <w:pPr>
        <w:pStyle w:val="BodyText"/>
      </w:pPr>
    </w:p>
    <w:p w14:paraId="5EF8A357" w14:textId="77777777" w:rsidR="00000000" w:rsidRDefault="00F62566">
      <w:pPr>
        <w:pStyle w:val="BodyText"/>
      </w:pPr>
      <w:r>
        <w:t>A final copy of the May minutes will be distributed with the June draft minutes.</w:t>
      </w:r>
    </w:p>
    <w:p w14:paraId="039F1D39" w14:textId="77777777" w:rsidR="00000000" w:rsidRDefault="00F62566"/>
    <w:p w14:paraId="0A30B44E" w14:textId="77777777" w:rsidR="00000000" w:rsidRDefault="00F62566">
      <w:pPr>
        <w:rPr>
          <w:u w:val="single"/>
        </w:rPr>
      </w:pPr>
      <w:r>
        <w:rPr>
          <w:b/>
          <w:sz w:val="24"/>
          <w:u w:val="single"/>
        </w:rPr>
        <w:t xml:space="preserve">Subcommittee </w:t>
      </w:r>
      <w:r>
        <w:rPr>
          <w:b/>
          <w:sz w:val="24"/>
          <w:u w:val="single"/>
        </w:rPr>
        <w:t>Reports:</w:t>
      </w:r>
    </w:p>
    <w:p w14:paraId="0981C857" w14:textId="77777777" w:rsidR="00000000" w:rsidRDefault="00F62566">
      <w:pPr>
        <w:rPr>
          <w:u w:val="single"/>
        </w:rPr>
      </w:pPr>
    </w:p>
    <w:p w14:paraId="52EF6754" w14:textId="77777777" w:rsidR="00000000" w:rsidRDefault="00F62566">
      <w:r>
        <w:rPr>
          <w:u w:val="single"/>
        </w:rPr>
        <w:t>Wireless Number Portability Operations Team WNPO:</w:t>
      </w:r>
    </w:p>
    <w:p w14:paraId="455BE46C" w14:textId="77777777" w:rsidR="00000000" w:rsidRDefault="00F62566"/>
    <w:p w14:paraId="7156D414" w14:textId="77777777" w:rsidR="00000000" w:rsidRDefault="00F62566">
      <w:pPr>
        <w:rPr>
          <w:sz w:val="24"/>
        </w:rPr>
      </w:pPr>
    </w:p>
    <w:p w14:paraId="2B130318" w14:textId="77777777" w:rsidR="00000000" w:rsidRDefault="00F62566" w:rsidP="00F62566">
      <w:pPr>
        <w:numPr>
          <w:ilvl w:val="0"/>
          <w:numId w:val="12"/>
        </w:numPr>
      </w:pPr>
      <w:r>
        <w:t xml:space="preserve">Cause Code 26 – Steve Addicks, MCI/WorldCom, discussed a contribution to make Cause Code 26 an optional functionality in the wireless network.  Cingular’s representative suggested that CC26 is </w:t>
      </w:r>
      <w:r>
        <w:lastRenderedPageBreak/>
        <w:t>n</w:t>
      </w:r>
      <w:r>
        <w:t>ot a mandatory requirement in TR45.  Jim Grasser stated that the WNPO will verify this.  If it is not mandatory, Steve will withdraw the contribution.</w:t>
      </w:r>
    </w:p>
    <w:p w14:paraId="136A8511" w14:textId="77777777" w:rsidR="00000000" w:rsidRDefault="00F62566"/>
    <w:p w14:paraId="787F8C61" w14:textId="77777777" w:rsidR="00000000" w:rsidRDefault="00F62566" w:rsidP="00F62566">
      <w:pPr>
        <w:numPr>
          <w:ilvl w:val="0"/>
          <w:numId w:val="13"/>
        </w:numPr>
      </w:pPr>
      <w:r>
        <w:t>Wireless Reseller Flows – The Wireless Reseller Flows are still being modified in the WNPO.  The plan is</w:t>
      </w:r>
      <w:r>
        <w:t xml:space="preserve"> to complete them and submit them to the LNPA prior to the July meeting.</w:t>
      </w:r>
    </w:p>
    <w:p w14:paraId="50394FB6" w14:textId="77777777" w:rsidR="00000000" w:rsidRDefault="00F62566"/>
    <w:p w14:paraId="41B3D74D" w14:textId="77777777" w:rsidR="00000000" w:rsidRDefault="00F62566" w:rsidP="00F62566">
      <w:pPr>
        <w:numPr>
          <w:ilvl w:val="0"/>
          <w:numId w:val="14"/>
        </w:numPr>
      </w:pPr>
      <w:r>
        <w:t>Wireless NXX Code Openings to Portability – The schedule for marking wireless NXX codes as portable in the LERG (attached) will be revised to add porting NPAs.  The new schedule will</w:t>
      </w:r>
      <w:r>
        <w:t xml:space="preserve"> be sent out during the week of 6/17.  These NPAs will become Groups 8, 9, and 10.</w:t>
      </w:r>
    </w:p>
    <w:bookmarkStart w:id="0" w:name="_MON_1085827400"/>
    <w:bookmarkStart w:id="1" w:name="_MON_1085827407"/>
    <w:bookmarkEnd w:id="0"/>
    <w:bookmarkEnd w:id="1"/>
    <w:p w14:paraId="2B578B2D" w14:textId="77777777" w:rsidR="00000000" w:rsidRDefault="00F62566">
      <w:pPr>
        <w:ind w:left="720"/>
      </w:pPr>
      <w:r>
        <w:object w:dxaOrig="1530" w:dyaOrig="990" w14:anchorId="31F40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106074" r:id="rId8">
            <o:FieldCodes>\s</o:FieldCodes>
          </o:OLEObject>
        </w:object>
      </w:r>
    </w:p>
    <w:p w14:paraId="58830DE5" w14:textId="77777777" w:rsidR="00000000" w:rsidRDefault="00F62566"/>
    <w:p w14:paraId="36B8EE26" w14:textId="77777777" w:rsidR="00000000" w:rsidRDefault="00F62566" w:rsidP="00F62566">
      <w:pPr>
        <w:numPr>
          <w:ilvl w:val="0"/>
          <w:numId w:val="15"/>
        </w:numPr>
      </w:pPr>
      <w:r>
        <w:t>The Wireless Testing Subcommittee reported that 11 Service Providers have acknowledged at least 1 test date in 18 MSAs (10 wireless and 1 wir</w:t>
      </w:r>
      <w:r>
        <w:t>eline).</w:t>
      </w:r>
    </w:p>
    <w:p w14:paraId="6F94E71E" w14:textId="77777777" w:rsidR="00000000" w:rsidRDefault="00F62566"/>
    <w:p w14:paraId="3E735665" w14:textId="77777777" w:rsidR="00000000" w:rsidRDefault="00F62566" w:rsidP="00F62566">
      <w:pPr>
        <w:numPr>
          <w:ilvl w:val="0"/>
          <w:numId w:val="16"/>
        </w:numPr>
      </w:pPr>
      <w:r>
        <w:t>Two wireline providers have provided test numbers to date.</w:t>
      </w:r>
    </w:p>
    <w:p w14:paraId="69C63B21" w14:textId="77777777" w:rsidR="00000000" w:rsidRDefault="00F62566"/>
    <w:p w14:paraId="74D7440A" w14:textId="77777777" w:rsidR="00000000" w:rsidRDefault="00F62566" w:rsidP="00F62566">
      <w:pPr>
        <w:numPr>
          <w:ilvl w:val="0"/>
          <w:numId w:val="17"/>
        </w:numPr>
      </w:pPr>
      <w:r>
        <w:t>LSOG support – The WNPO is recommending that providers support at least LSOG 5.</w:t>
      </w:r>
    </w:p>
    <w:p w14:paraId="015A38C9" w14:textId="77777777" w:rsidR="00000000" w:rsidRDefault="00F62566"/>
    <w:p w14:paraId="7D4121F3" w14:textId="77777777" w:rsidR="00000000" w:rsidRDefault="00F62566" w:rsidP="00F62566">
      <w:pPr>
        <w:numPr>
          <w:ilvl w:val="0"/>
          <w:numId w:val="18"/>
        </w:numPr>
      </w:pPr>
      <w:r>
        <w:t>NeuStar reported that 5 providers and 1 Service Bureau have completed NPAC testing.  Ten providers have re</w:t>
      </w:r>
      <w:r>
        <w:t>quested testing dates.  Thirty providers have signed Non-Disclosure Agreements (NDAs).</w:t>
      </w:r>
    </w:p>
    <w:p w14:paraId="46C06A8E" w14:textId="77777777" w:rsidR="00000000" w:rsidRDefault="00F62566"/>
    <w:p w14:paraId="5EC49197" w14:textId="77777777" w:rsidR="00000000" w:rsidRDefault="00F62566" w:rsidP="00F62566">
      <w:pPr>
        <w:pStyle w:val="List"/>
        <w:numPr>
          <w:ilvl w:val="0"/>
          <w:numId w:val="19"/>
        </w:numPr>
      </w:pPr>
      <w:r>
        <w:t xml:space="preserve">Jacki Daniel agreed to develop a draft Trouble Log to capture issues and their resolution in order to facilitate </w:t>
      </w:r>
      <w:proofErr w:type="gramStart"/>
      <w:r>
        <w:t>trouble-shooting</w:t>
      </w:r>
      <w:proofErr w:type="gramEnd"/>
      <w:r>
        <w:t>.  The log will be posted on the WNPO w</w:t>
      </w:r>
      <w:r>
        <w:t>ebsite.</w:t>
      </w:r>
    </w:p>
    <w:p w14:paraId="36123D0D" w14:textId="77777777" w:rsidR="00000000" w:rsidRDefault="00F62566"/>
    <w:p w14:paraId="74BCE47A" w14:textId="77777777" w:rsidR="00000000" w:rsidRDefault="00F62566" w:rsidP="00F62566">
      <w:pPr>
        <w:numPr>
          <w:ilvl w:val="0"/>
          <w:numId w:val="20"/>
        </w:numPr>
      </w:pPr>
      <w:r>
        <w:t>NeuStar proposed providing a database for storing MDNs and MINs.  It would primarily be used by PSAPs and accessed via an IVR to check a 10-digit number.  Both MDN and MIN contact info where available (SPID/company name and contact number) would b</w:t>
      </w:r>
      <w:r>
        <w:t>e returned for the 10-digit number, but no mapping between MDN and MIN would be provided MIN to TN association was discussed as a phase II.  This has been referred to NENA for possible action.</w:t>
      </w:r>
    </w:p>
    <w:p w14:paraId="0D960479" w14:textId="77777777" w:rsidR="00000000" w:rsidRDefault="00F62566"/>
    <w:p w14:paraId="4F365C04" w14:textId="77777777" w:rsidR="00000000" w:rsidRDefault="00F62566">
      <w:pPr>
        <w:rPr>
          <w:u w:val="single"/>
        </w:rPr>
      </w:pPr>
      <w:r>
        <w:rPr>
          <w:u w:val="single"/>
        </w:rPr>
        <w:t>Type 1 Cellular Number Migration:</w:t>
      </w:r>
    </w:p>
    <w:p w14:paraId="7374D8EC" w14:textId="77777777" w:rsidR="00000000" w:rsidRDefault="00F62566">
      <w:pPr>
        <w:rPr>
          <w:u w:val="single"/>
        </w:rPr>
      </w:pPr>
    </w:p>
    <w:p w14:paraId="64B2BCE9" w14:textId="77777777" w:rsidR="00000000" w:rsidRDefault="00F62566" w:rsidP="00F62566">
      <w:pPr>
        <w:numPr>
          <w:ilvl w:val="0"/>
          <w:numId w:val="5"/>
        </w:numPr>
      </w:pPr>
      <w:r>
        <w:t xml:space="preserve">On behalf of the WNPO, Ron </w:t>
      </w:r>
      <w:r>
        <w:t xml:space="preserve">Steen and Jim Grasser presented the proposal for Type 1 Cellular Number Migration to the LNPA.  This proposal centers on porting Type 1 cellular numbers, which are </w:t>
      </w:r>
      <w:proofErr w:type="gramStart"/>
      <w:r>
        <w:t>actually LERG-assigned</w:t>
      </w:r>
      <w:proofErr w:type="gramEnd"/>
      <w:r>
        <w:t xml:space="preserve"> to a wireline carrier, to the applicable wireless carrier on a manage</w:t>
      </w:r>
      <w:r>
        <w:t xml:space="preserve">d project basis.  The LNPA approved the proposal and will send a liaison to the INC in issue format requesting modification of INC Guidelines in support of this process.  This will be reported to NANC at the July meeting.  Attached is the current proposal </w:t>
      </w:r>
      <w:r>
        <w:t>submitted by the WNPO.</w:t>
      </w:r>
    </w:p>
    <w:p w14:paraId="38061521" w14:textId="77777777" w:rsidR="00000000" w:rsidRDefault="00F62566"/>
    <w:bookmarkStart w:id="2" w:name="_MON_1084189606"/>
    <w:bookmarkStart w:id="3" w:name="_MON_1085995051"/>
    <w:bookmarkEnd w:id="2"/>
    <w:bookmarkEnd w:id="3"/>
    <w:p w14:paraId="5C656EB3" w14:textId="77777777" w:rsidR="00000000" w:rsidRDefault="00F62566">
      <w:r>
        <w:object w:dxaOrig="1530" w:dyaOrig="990" w14:anchorId="7A0C7763">
          <v:shape id="_x0000_i1026" type="#_x0000_t75" style="width:76.5pt;height:49.5pt" o:ole="" fillcolor="window">
            <v:imagedata r:id="rId9" o:title=""/>
          </v:shape>
          <o:OLEObject Type="Embed" ProgID="Word.Document.8" ShapeID="_x0000_i1026" DrawAspect="Icon" ObjectID="_1735106075" r:id="rId10">
            <o:FieldCodes>\s</o:FieldCodes>
          </o:OLEObject>
        </w:object>
      </w:r>
    </w:p>
    <w:p w14:paraId="3A54AF74" w14:textId="77777777" w:rsidR="00000000" w:rsidRDefault="00F62566"/>
    <w:p w14:paraId="5DDBDA98" w14:textId="77777777" w:rsidR="00000000" w:rsidRDefault="00F62566"/>
    <w:p w14:paraId="565DD0CF" w14:textId="77777777" w:rsidR="00000000" w:rsidRDefault="00F62566"/>
    <w:p w14:paraId="68207C00" w14:textId="77777777" w:rsidR="00000000" w:rsidRDefault="00F62566"/>
    <w:p w14:paraId="4141EDEE" w14:textId="77777777" w:rsidR="00000000" w:rsidRDefault="00F62566"/>
    <w:p w14:paraId="1951ACD0" w14:textId="77777777" w:rsidR="00000000" w:rsidRDefault="00F62566"/>
    <w:p w14:paraId="6D5F69DF" w14:textId="77777777" w:rsidR="00000000" w:rsidRDefault="00F62566"/>
    <w:p w14:paraId="006D86B4" w14:textId="77777777" w:rsidR="00000000" w:rsidRDefault="00F62566"/>
    <w:p w14:paraId="04D55015" w14:textId="77777777" w:rsidR="00000000" w:rsidRDefault="00F62566">
      <w:pPr>
        <w:rPr>
          <w:b/>
          <w:color w:val="000000"/>
          <w:sz w:val="28"/>
          <w:u w:val="single"/>
        </w:rPr>
      </w:pPr>
      <w:r>
        <w:rPr>
          <w:b/>
          <w:color w:val="000000"/>
          <w:sz w:val="28"/>
          <w:u w:val="single"/>
        </w:rPr>
        <w:t>Problem / Issues Management (PIMs):</w:t>
      </w:r>
    </w:p>
    <w:p w14:paraId="066DDAF3" w14:textId="77777777" w:rsidR="00000000" w:rsidRDefault="00F62566">
      <w:r>
        <w:t>.</w:t>
      </w:r>
    </w:p>
    <w:p w14:paraId="3F75466C" w14:textId="77777777" w:rsidR="00000000" w:rsidRDefault="00F62566">
      <w:pPr>
        <w:rPr>
          <w:b/>
          <w:u w:val="single"/>
        </w:rPr>
      </w:pPr>
    </w:p>
    <w:p w14:paraId="111B62E6" w14:textId="77777777" w:rsidR="00000000" w:rsidRDefault="00F62566" w:rsidP="00F62566">
      <w:pPr>
        <w:numPr>
          <w:ilvl w:val="0"/>
          <w:numId w:val="7"/>
        </w:numPr>
        <w:ind w:left="420"/>
      </w:pPr>
      <w:r>
        <w:t>PIM 1 – No change.  This PIM is CLOSED and the LNPA is awaiting the wireless reseller flows before modifying with wireline reseller flows.  The wireless f</w:t>
      </w:r>
      <w:r>
        <w:t>lows are expected by the July LNPA meeting.</w:t>
      </w:r>
    </w:p>
    <w:p w14:paraId="62ADC268" w14:textId="77777777" w:rsidR="00000000" w:rsidRDefault="00F62566">
      <w:pPr>
        <w:ind w:left="60"/>
      </w:pPr>
    </w:p>
    <w:p w14:paraId="3F07FA1B" w14:textId="77777777" w:rsidR="00000000" w:rsidRDefault="00F62566" w:rsidP="00F62566">
      <w:pPr>
        <w:numPr>
          <w:ilvl w:val="0"/>
          <w:numId w:val="1"/>
        </w:numPr>
        <w:tabs>
          <w:tab w:val="num" w:pos="840"/>
        </w:tabs>
        <w:ind w:left="420"/>
      </w:pPr>
      <w:r>
        <w:t>PIM 5 – Still in Legal review with LLC and NeuStar attorneys.</w:t>
      </w:r>
    </w:p>
    <w:p w14:paraId="3012ADFC" w14:textId="77777777" w:rsidR="00000000" w:rsidRDefault="00F62566"/>
    <w:p w14:paraId="57A95DA9" w14:textId="77777777" w:rsidR="00000000" w:rsidRDefault="00F62566" w:rsidP="00F62566">
      <w:pPr>
        <w:numPr>
          <w:ilvl w:val="0"/>
          <w:numId w:val="6"/>
        </w:numPr>
        <w:ind w:left="420"/>
      </w:pPr>
      <w:r>
        <w:t xml:space="preserve">PIM 6 – NENA has developed a standard that will enable the new service provider to migrate a customer record into the 911 database without it first </w:t>
      </w:r>
      <w:r>
        <w:t xml:space="preserve">being unlocked by the old service provider when numbers are ported.  The LNPA approved this standard at the June meeting.  NENA will work with member service providers to implement the standard.  This PIM is now CLOSED. </w:t>
      </w:r>
    </w:p>
    <w:p w14:paraId="177AF051" w14:textId="77777777" w:rsidR="00000000" w:rsidRDefault="00F62566">
      <w:pPr>
        <w:ind w:left="60"/>
      </w:pPr>
    </w:p>
    <w:p w14:paraId="626217AF" w14:textId="77777777" w:rsidR="00000000" w:rsidRDefault="00F62566">
      <w:pPr>
        <w:tabs>
          <w:tab w:val="num" w:pos="840"/>
        </w:tabs>
        <w:ind w:left="60"/>
      </w:pPr>
      <w:r>
        <w:t xml:space="preserve">                 </w:t>
      </w:r>
      <w:bookmarkStart w:id="4" w:name="_MON_1080463048"/>
      <w:bookmarkStart w:id="5" w:name="_MON_1084187765"/>
      <w:bookmarkEnd w:id="4"/>
      <w:bookmarkEnd w:id="5"/>
      <w:r>
        <w:object w:dxaOrig="1530" w:dyaOrig="990" w14:anchorId="5B8FA5FA">
          <v:shape id="_x0000_i1027" type="#_x0000_t75" style="width:76.5pt;height:49.5pt" o:ole="" fillcolor="window">
            <v:imagedata r:id="rId11" o:title=""/>
          </v:shape>
          <o:OLEObject Type="Embed" ProgID="Word.Document.8" ShapeID="_x0000_i1027" DrawAspect="Icon" ObjectID="_1735106076" r:id="rId12">
            <o:FieldCodes>\s</o:FieldCodes>
          </o:OLEObject>
        </w:object>
      </w:r>
    </w:p>
    <w:p w14:paraId="6833809E" w14:textId="77777777" w:rsidR="00000000" w:rsidRDefault="00F62566">
      <w:pPr>
        <w:tabs>
          <w:tab w:val="num" w:pos="840"/>
        </w:tabs>
        <w:rPr>
          <w:color w:val="FF0000"/>
        </w:rPr>
      </w:pPr>
    </w:p>
    <w:p w14:paraId="1ADA2AC2" w14:textId="77777777" w:rsidR="00000000" w:rsidRDefault="00F62566" w:rsidP="00F62566">
      <w:pPr>
        <w:numPr>
          <w:ilvl w:val="0"/>
          <w:numId w:val="2"/>
        </w:numPr>
        <w:ind w:left="420"/>
      </w:pPr>
      <w:r>
        <w:t>PIMs 14 and 15 – The group held another discussion with the NeuStar Pool Administrator, Barry Bishop, on why NeuStar was requiring the new LERG-assignee to take all 10 pooled blocks when the code is transferred to them, even when that provid</w:t>
      </w:r>
      <w:r>
        <w:t>er is not requesting all 10 blocks.  Some service providers contend that this practice is an unnecessary requirement resulting in additional cost to the industry in download transactions.  Barry stated that the guidelines in the LNP CO Code Transfer Proces</w:t>
      </w:r>
      <w:r>
        <w:t xml:space="preserve">s require the PA to allocate all 10 </w:t>
      </w:r>
      <w:proofErr w:type="gramStart"/>
      <w:r>
        <w:t>thousands</w:t>
      </w:r>
      <w:proofErr w:type="gramEnd"/>
      <w:r>
        <w:t xml:space="preserve"> blocks to the new LERG-assignee.  Barry agreed to take the following </w:t>
      </w:r>
      <w:r>
        <w:rPr>
          <w:color w:val="FF0000"/>
        </w:rPr>
        <w:t>ACTION ITEM:</w:t>
      </w:r>
    </w:p>
    <w:p w14:paraId="3EA70388" w14:textId="77777777" w:rsidR="00000000" w:rsidRDefault="00F62566" w:rsidP="00F62566">
      <w:pPr>
        <w:numPr>
          <w:ilvl w:val="0"/>
          <w:numId w:val="21"/>
        </w:numPr>
      </w:pPr>
      <w:r>
        <w:t>Barry will modify the LNP CO Code Transfer Process guidelines to allow service provider choice on the number of 1K blocks they w</w:t>
      </w:r>
      <w:r>
        <w:t xml:space="preserve">ill accept.  </w:t>
      </w:r>
    </w:p>
    <w:p w14:paraId="283F54F2" w14:textId="77777777" w:rsidR="00000000" w:rsidRDefault="00F62566" w:rsidP="00F62566">
      <w:pPr>
        <w:numPr>
          <w:ilvl w:val="0"/>
          <w:numId w:val="21"/>
        </w:numPr>
      </w:pPr>
      <w:r>
        <w:t xml:space="preserve">Barry will then bring the modified guidelines to the LNPA for review and approval.  </w:t>
      </w:r>
    </w:p>
    <w:p w14:paraId="20AA87E8" w14:textId="77777777" w:rsidR="00000000" w:rsidRDefault="00F62566" w:rsidP="00F62566">
      <w:pPr>
        <w:numPr>
          <w:ilvl w:val="0"/>
          <w:numId w:val="21"/>
        </w:numPr>
      </w:pPr>
      <w:r>
        <w:t xml:space="preserve">Upon LNPA approval, Barry will send a liaison to the INC (in issue format) advising of the change made within the LNPA and ask INC to check their applicable </w:t>
      </w:r>
      <w:r>
        <w:t>guidelines for any changes for consistency.</w:t>
      </w:r>
    </w:p>
    <w:p w14:paraId="492C8767" w14:textId="77777777" w:rsidR="00000000" w:rsidRDefault="00F62566">
      <w:pPr>
        <w:pStyle w:val="BodyTextIndent3"/>
      </w:pPr>
      <w:r>
        <w:t>NOTE:  If INC guideline changes are required that affect the PA or NANPA, then an FCC Change Order will likely be required, which could push resolution out to 1Q03.  NANC 323 could be available by then, making th</w:t>
      </w:r>
      <w:r>
        <w:t xml:space="preserve">is process and requested change moot. </w:t>
      </w:r>
    </w:p>
    <w:p w14:paraId="4C535621" w14:textId="77777777" w:rsidR="00000000" w:rsidRDefault="00F62566"/>
    <w:p w14:paraId="341C166B" w14:textId="77777777" w:rsidR="00000000" w:rsidRDefault="00F62566" w:rsidP="00F62566">
      <w:pPr>
        <w:numPr>
          <w:ilvl w:val="0"/>
          <w:numId w:val="3"/>
        </w:numPr>
        <w:rPr>
          <w:color w:val="FF0000"/>
        </w:rPr>
      </w:pPr>
      <w:r>
        <w:t>PIM 17 – Although this PIM is CLOSED, discussion took place on NANC 356, which is a short-term solution to identifying all carriers as either wireless or wireline.  With NANC 356, all carriers will be identified in t</w:t>
      </w:r>
      <w:r>
        <w:t xml:space="preserve">he ServiceProvName field as wireline (identified via /1) or wireless (identified via /2).  This will be broadcasted to all service providers.  M&amp;Ps are due to the NAPM/LLC from NeuStar by the next LLC meeting.  </w:t>
      </w:r>
    </w:p>
    <w:p w14:paraId="3494C5F6" w14:textId="77777777" w:rsidR="00000000" w:rsidRDefault="00F62566"/>
    <w:p w14:paraId="4A7B45F5" w14:textId="77777777" w:rsidR="00000000" w:rsidRDefault="00F62566" w:rsidP="00F62566">
      <w:pPr>
        <w:numPr>
          <w:ilvl w:val="0"/>
          <w:numId w:val="4"/>
        </w:numPr>
        <w:rPr>
          <w:color w:val="FF0000"/>
        </w:rPr>
      </w:pPr>
      <w:r>
        <w:t xml:space="preserve">PIM 18 – No change.  The WNPO will prepare </w:t>
      </w:r>
      <w:r>
        <w:t>the wireless reseller flows, reflecting Option B, for submission to the LNPA.  These are expected by the July LNPA meeting.</w:t>
      </w:r>
    </w:p>
    <w:p w14:paraId="7637AECD" w14:textId="77777777" w:rsidR="00000000" w:rsidRDefault="00F62566"/>
    <w:p w14:paraId="5139F6C4" w14:textId="77777777" w:rsidR="00000000" w:rsidRDefault="00F62566" w:rsidP="00F62566">
      <w:pPr>
        <w:numPr>
          <w:ilvl w:val="0"/>
          <w:numId w:val="8"/>
        </w:numPr>
        <w:rPr>
          <w:b/>
        </w:rPr>
      </w:pPr>
      <w:r>
        <w:t xml:space="preserve">NEW PIM 19 - </w:t>
      </w:r>
      <w:r>
        <w:rPr>
          <w:b/>
        </w:rPr>
        <w:t>Individual intra and inter-service provider ported records with same LRN as pooled block record:</w:t>
      </w:r>
    </w:p>
    <w:p w14:paraId="37BCA6A1" w14:textId="77777777" w:rsidR="00000000" w:rsidRDefault="00F62566">
      <w:pPr>
        <w:ind w:left="360"/>
      </w:pPr>
      <w:r>
        <w:t>This PIM addresses in</w:t>
      </w:r>
      <w:r>
        <w:t>stances where individual ported records have been created for numbers within a pooled 1K block, however, the LRN associated with the individual records is the same as the LRN associated with the 1K block.  This dilutes the advantages of Efficient Data Repr</w:t>
      </w:r>
      <w:r>
        <w:t>esentation (EDR).  The PIM’s submitter, SBC, will provide additional data to NeuStar for further investigation as to why this is occurring.  NeuStar is awaiting data from SBC.</w:t>
      </w:r>
    </w:p>
    <w:p w14:paraId="5B5137C4" w14:textId="77777777" w:rsidR="00000000" w:rsidRDefault="00F62566">
      <w:pPr>
        <w:rPr>
          <w:b/>
        </w:rPr>
      </w:pPr>
    </w:p>
    <w:p w14:paraId="55D54CC4" w14:textId="77777777" w:rsidR="00000000" w:rsidRDefault="00F62566">
      <w:pPr>
        <w:rPr>
          <w:b/>
        </w:rPr>
      </w:pPr>
    </w:p>
    <w:p w14:paraId="72EEF0FD" w14:textId="77777777" w:rsidR="00000000" w:rsidRDefault="00F62566">
      <w:pPr>
        <w:rPr>
          <w:b/>
        </w:rPr>
      </w:pPr>
    </w:p>
    <w:p w14:paraId="53A0086E" w14:textId="77777777" w:rsidR="00000000" w:rsidRDefault="00F62566">
      <w:pPr>
        <w:rPr>
          <w:b/>
          <w:sz w:val="24"/>
        </w:rPr>
      </w:pPr>
      <w:r>
        <w:rPr>
          <w:b/>
          <w:sz w:val="24"/>
          <w:u w:val="single"/>
        </w:rPr>
        <w:t>Turn-up Testing Requirements:</w:t>
      </w:r>
    </w:p>
    <w:p w14:paraId="3D703ACE" w14:textId="77777777" w:rsidR="00000000" w:rsidRDefault="00F62566">
      <w:pPr>
        <w:rPr>
          <w:sz w:val="24"/>
        </w:rPr>
      </w:pPr>
    </w:p>
    <w:p w14:paraId="158CB852" w14:textId="77777777" w:rsidR="00000000" w:rsidRDefault="00F62566">
      <w:pPr>
        <w:pStyle w:val="Heading3"/>
        <w:rPr>
          <w:b w:val="0"/>
          <w:sz w:val="20"/>
        </w:rPr>
      </w:pPr>
      <w:r>
        <w:rPr>
          <w:b w:val="0"/>
          <w:sz w:val="20"/>
        </w:rPr>
        <w:t>The group reviewed the Requirements for Intero</w:t>
      </w:r>
      <w:r>
        <w:rPr>
          <w:b w:val="0"/>
          <w:sz w:val="20"/>
        </w:rPr>
        <w:t xml:space="preserve">perability Testing (attached), provided by NeuStar, </w:t>
      </w:r>
      <w:proofErr w:type="gramStart"/>
      <w:r>
        <w:rPr>
          <w:b w:val="0"/>
          <w:sz w:val="20"/>
        </w:rPr>
        <w:t>in order to</w:t>
      </w:r>
      <w:proofErr w:type="gramEnd"/>
      <w:r>
        <w:rPr>
          <w:b w:val="0"/>
          <w:sz w:val="20"/>
        </w:rPr>
        <w:t xml:space="preserve"> serve as a framework for developing requirements for turn-up testing.  Some doubts were raised related to the enforceability of such requirements.  Rob Coffman, NeuStar, agreed to take an </w:t>
      </w:r>
      <w:r>
        <w:rPr>
          <w:b w:val="0"/>
          <w:color w:val="FF0000"/>
          <w:sz w:val="20"/>
        </w:rPr>
        <w:t>ACTI</w:t>
      </w:r>
      <w:r>
        <w:rPr>
          <w:b w:val="0"/>
          <w:color w:val="FF0000"/>
          <w:sz w:val="20"/>
        </w:rPr>
        <w:t>ON ITEM</w:t>
      </w:r>
      <w:r>
        <w:rPr>
          <w:b w:val="0"/>
          <w:sz w:val="20"/>
        </w:rPr>
        <w:t xml:space="preserve"> to draft requirements for turn-up testing that will include the 5 scenarios from the interoperability testing requirements.  Rob will submit the draft to the LNPA for review and approval.   The intent of this discussion is to provide expanded text </w:t>
      </w:r>
      <w:r>
        <w:rPr>
          <w:b w:val="0"/>
          <w:sz w:val="20"/>
        </w:rPr>
        <w:t>for use in the Continued Certification Testing requirements (SOW 24) to deal with Recovery and other concerns (using production-sized databases, for example).  The enhanced Turn-Up testing, developed in connection with release 3.2 will be LNPA-WG’s opportu</w:t>
      </w:r>
      <w:r>
        <w:rPr>
          <w:b w:val="0"/>
          <w:sz w:val="20"/>
        </w:rPr>
        <w:t>nity to enforce adequate recovery, etc. through improved test cases.</w:t>
      </w:r>
    </w:p>
    <w:p w14:paraId="5287E034" w14:textId="77777777" w:rsidR="00000000" w:rsidRDefault="00F62566">
      <w:pPr>
        <w:rPr>
          <w:sz w:val="24"/>
        </w:rPr>
      </w:pPr>
    </w:p>
    <w:bookmarkStart w:id="6" w:name="_MON_1085998807"/>
    <w:bookmarkStart w:id="7" w:name="_MON_1085998812"/>
    <w:bookmarkStart w:id="8" w:name="_MON_1085999022"/>
    <w:bookmarkEnd w:id="6"/>
    <w:bookmarkEnd w:id="7"/>
    <w:bookmarkEnd w:id="8"/>
    <w:p w14:paraId="41B1107E" w14:textId="77777777" w:rsidR="00000000" w:rsidRDefault="00F62566">
      <w:pPr>
        <w:rPr>
          <w:sz w:val="24"/>
        </w:rPr>
      </w:pPr>
      <w:r>
        <w:rPr>
          <w:sz w:val="24"/>
        </w:rPr>
        <w:object w:dxaOrig="1530" w:dyaOrig="990" w14:anchorId="30DF415C">
          <v:shape id="_x0000_i1028" type="#_x0000_t75" style="width:76.5pt;height:49.5pt" o:ole="" fillcolor="window">
            <v:imagedata r:id="rId13" o:title=""/>
          </v:shape>
          <o:OLEObject Type="Embed" ProgID="Word.Document.8" ShapeID="_x0000_i1028" DrawAspect="Icon" ObjectID="_1735106077" r:id="rId14">
            <o:FieldCodes>\s</o:FieldCodes>
          </o:OLEObject>
        </w:object>
      </w:r>
    </w:p>
    <w:p w14:paraId="40D2974D" w14:textId="77777777" w:rsidR="00000000" w:rsidRDefault="00F62566">
      <w:pPr>
        <w:pStyle w:val="Header"/>
        <w:tabs>
          <w:tab w:val="clear" w:pos="4320"/>
          <w:tab w:val="clear" w:pos="8640"/>
        </w:tabs>
      </w:pPr>
      <w:r>
        <w:br w:type="page"/>
      </w:r>
    </w:p>
    <w:p w14:paraId="6A034388" w14:textId="77777777" w:rsidR="00000000" w:rsidRDefault="00F62566">
      <w:pPr>
        <w:rPr>
          <w:b/>
          <w:sz w:val="24"/>
          <w:u w:val="single"/>
        </w:rPr>
      </w:pPr>
    </w:p>
    <w:p w14:paraId="1A429B17" w14:textId="77777777" w:rsidR="00000000" w:rsidRDefault="00F62566">
      <w:pPr>
        <w:pStyle w:val="Heading8"/>
        <w:spacing w:after="80"/>
      </w:pPr>
      <w:r>
        <w:t xml:space="preserve">Thursday, June 13, </w:t>
      </w:r>
      <w:proofErr w:type="gramStart"/>
      <w:r>
        <w:t>2002  8</w:t>
      </w:r>
      <w:proofErr w:type="gramEnd"/>
      <w:r>
        <w:t>:30 – 5:00pm</w:t>
      </w:r>
    </w:p>
    <w:p w14:paraId="08447D4D" w14:textId="77777777" w:rsidR="00000000" w:rsidRDefault="00F62566">
      <w:pPr>
        <w:rPr>
          <w:sz w:val="24"/>
        </w:rPr>
      </w:pPr>
      <w:r>
        <w:rPr>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1911"/>
        <w:gridCol w:w="2232"/>
      </w:tblGrid>
      <w:tr w:rsidR="00000000" w14:paraId="3D7212A0" w14:textId="77777777">
        <w:tblPrEx>
          <w:tblCellMar>
            <w:top w:w="0" w:type="dxa"/>
            <w:bottom w:w="0" w:type="dxa"/>
          </w:tblCellMar>
        </w:tblPrEx>
        <w:trPr>
          <w:trHeight w:val="305"/>
        </w:trPr>
        <w:tc>
          <w:tcPr>
            <w:tcW w:w="1668" w:type="dxa"/>
            <w:shd w:val="solid" w:color="000080" w:fill="FFFFFF"/>
          </w:tcPr>
          <w:p w14:paraId="4687B270" w14:textId="77777777" w:rsidR="00000000" w:rsidRDefault="00F62566">
            <w:pPr>
              <w:rPr>
                <w:b/>
                <w:color w:val="FFFFFF"/>
              </w:rPr>
            </w:pPr>
            <w:r>
              <w:rPr>
                <w:b/>
                <w:color w:val="FFFFFF"/>
              </w:rPr>
              <w:t>Name</w:t>
            </w:r>
          </w:p>
        </w:tc>
        <w:tc>
          <w:tcPr>
            <w:tcW w:w="2590" w:type="dxa"/>
            <w:shd w:val="solid" w:color="000080" w:fill="FFFFFF"/>
          </w:tcPr>
          <w:p w14:paraId="5ED546C1" w14:textId="77777777" w:rsidR="00000000" w:rsidRDefault="00F62566">
            <w:pPr>
              <w:rPr>
                <w:b/>
                <w:color w:val="FFFFFF"/>
              </w:rPr>
            </w:pPr>
            <w:r>
              <w:rPr>
                <w:b/>
                <w:color w:val="FFFFFF"/>
              </w:rPr>
              <w:t>Company</w:t>
            </w:r>
          </w:p>
        </w:tc>
        <w:tc>
          <w:tcPr>
            <w:tcW w:w="1911" w:type="dxa"/>
            <w:shd w:val="solid" w:color="000080" w:fill="FFFFFF"/>
          </w:tcPr>
          <w:p w14:paraId="370852AC" w14:textId="77777777" w:rsidR="00000000" w:rsidRDefault="00F62566">
            <w:pPr>
              <w:rPr>
                <w:b/>
                <w:color w:val="FFFFFF"/>
              </w:rPr>
            </w:pPr>
            <w:r>
              <w:rPr>
                <w:b/>
                <w:color w:val="FFFFFF"/>
              </w:rPr>
              <w:t>Name</w:t>
            </w:r>
          </w:p>
        </w:tc>
        <w:tc>
          <w:tcPr>
            <w:tcW w:w="2232" w:type="dxa"/>
            <w:shd w:val="solid" w:color="000080" w:fill="FFFFFF"/>
          </w:tcPr>
          <w:p w14:paraId="5558744A" w14:textId="77777777" w:rsidR="00000000" w:rsidRDefault="00F62566">
            <w:pPr>
              <w:rPr>
                <w:b/>
                <w:color w:val="FFFFFF"/>
              </w:rPr>
            </w:pPr>
            <w:r>
              <w:rPr>
                <w:b/>
                <w:color w:val="FFFFFF"/>
              </w:rPr>
              <w:t>Company</w:t>
            </w:r>
          </w:p>
        </w:tc>
      </w:tr>
      <w:tr w:rsidR="00000000" w14:paraId="2ABFAEE5" w14:textId="77777777">
        <w:tblPrEx>
          <w:tblCellMar>
            <w:top w:w="0" w:type="dxa"/>
            <w:bottom w:w="0" w:type="dxa"/>
          </w:tblCellMar>
        </w:tblPrEx>
        <w:trPr>
          <w:trHeight w:val="319"/>
        </w:trPr>
        <w:tc>
          <w:tcPr>
            <w:tcW w:w="1668" w:type="dxa"/>
          </w:tcPr>
          <w:p w14:paraId="5C415280" w14:textId="77777777" w:rsidR="00000000" w:rsidRDefault="00F62566">
            <w:r>
              <w:t xml:space="preserve">H.L. Gowda </w:t>
            </w:r>
          </w:p>
        </w:tc>
        <w:tc>
          <w:tcPr>
            <w:tcW w:w="2590" w:type="dxa"/>
          </w:tcPr>
          <w:p w14:paraId="5106D230" w14:textId="77777777" w:rsidR="00000000" w:rsidRDefault="00F62566">
            <w:r>
              <w:t>AT&amp;T</w:t>
            </w:r>
          </w:p>
        </w:tc>
        <w:tc>
          <w:tcPr>
            <w:tcW w:w="1911" w:type="dxa"/>
          </w:tcPr>
          <w:p w14:paraId="0DBA658A" w14:textId="77777777" w:rsidR="00000000" w:rsidRDefault="00F62566">
            <w:pPr>
              <w:tabs>
                <w:tab w:val="right" w:pos="2116"/>
              </w:tabs>
            </w:pPr>
            <w:r>
              <w:t>Barry Bishop</w:t>
            </w:r>
          </w:p>
        </w:tc>
        <w:tc>
          <w:tcPr>
            <w:tcW w:w="2232" w:type="dxa"/>
          </w:tcPr>
          <w:p w14:paraId="42D61A67" w14:textId="77777777" w:rsidR="00000000" w:rsidRDefault="00F62566">
            <w:r>
              <w:t>NeuStar (phone)</w:t>
            </w:r>
          </w:p>
        </w:tc>
      </w:tr>
      <w:tr w:rsidR="00000000" w14:paraId="1D53A98C" w14:textId="77777777">
        <w:tblPrEx>
          <w:tblCellMar>
            <w:top w:w="0" w:type="dxa"/>
            <w:bottom w:w="0" w:type="dxa"/>
          </w:tblCellMar>
        </w:tblPrEx>
        <w:trPr>
          <w:trHeight w:val="265"/>
        </w:trPr>
        <w:tc>
          <w:tcPr>
            <w:tcW w:w="1668" w:type="dxa"/>
          </w:tcPr>
          <w:p w14:paraId="16A559FD" w14:textId="77777777" w:rsidR="00000000" w:rsidRDefault="00F62566">
            <w:r>
              <w:t>Paul LaGattuta</w:t>
            </w:r>
          </w:p>
        </w:tc>
        <w:tc>
          <w:tcPr>
            <w:tcW w:w="2590" w:type="dxa"/>
          </w:tcPr>
          <w:p w14:paraId="607A0DBC" w14:textId="77777777" w:rsidR="00000000" w:rsidRDefault="00F62566">
            <w:r>
              <w:t>AT&amp;T</w:t>
            </w:r>
          </w:p>
        </w:tc>
        <w:tc>
          <w:tcPr>
            <w:tcW w:w="1911" w:type="dxa"/>
          </w:tcPr>
          <w:p w14:paraId="456DC26F" w14:textId="77777777" w:rsidR="00000000" w:rsidRDefault="00F62566">
            <w:r>
              <w:t>Rosemar</w:t>
            </w:r>
            <w:r>
              <w:t>y Emmer</w:t>
            </w:r>
          </w:p>
        </w:tc>
        <w:tc>
          <w:tcPr>
            <w:tcW w:w="2232" w:type="dxa"/>
          </w:tcPr>
          <w:p w14:paraId="1EC8EDB3" w14:textId="77777777" w:rsidR="00000000" w:rsidRDefault="00F62566">
            <w:r>
              <w:t>Nextel (phone)</w:t>
            </w:r>
          </w:p>
        </w:tc>
      </w:tr>
      <w:tr w:rsidR="00000000" w14:paraId="7D1E60F7" w14:textId="77777777">
        <w:tblPrEx>
          <w:tblCellMar>
            <w:top w:w="0" w:type="dxa"/>
            <w:bottom w:w="0" w:type="dxa"/>
          </w:tblCellMar>
        </w:tblPrEx>
        <w:trPr>
          <w:trHeight w:val="290"/>
        </w:trPr>
        <w:tc>
          <w:tcPr>
            <w:tcW w:w="1668" w:type="dxa"/>
          </w:tcPr>
          <w:p w14:paraId="2D9C1835" w14:textId="77777777" w:rsidR="00000000" w:rsidRDefault="00F62566">
            <w:r>
              <w:t>Lonnie Keck</w:t>
            </w:r>
          </w:p>
        </w:tc>
        <w:tc>
          <w:tcPr>
            <w:tcW w:w="2590" w:type="dxa"/>
          </w:tcPr>
          <w:p w14:paraId="58597382" w14:textId="77777777" w:rsidR="00000000" w:rsidRDefault="00F62566">
            <w:r>
              <w:t>ATTWS (phone)</w:t>
            </w:r>
          </w:p>
        </w:tc>
        <w:tc>
          <w:tcPr>
            <w:tcW w:w="1911" w:type="dxa"/>
          </w:tcPr>
          <w:p w14:paraId="7AB11C4A" w14:textId="77777777" w:rsidR="00000000" w:rsidRDefault="00F62566">
            <w:r>
              <w:t>Rob Coffman</w:t>
            </w:r>
          </w:p>
        </w:tc>
        <w:tc>
          <w:tcPr>
            <w:tcW w:w="2232" w:type="dxa"/>
          </w:tcPr>
          <w:p w14:paraId="77972975" w14:textId="77777777" w:rsidR="00000000" w:rsidRDefault="00F62566">
            <w:r>
              <w:t>NeuStar</w:t>
            </w:r>
          </w:p>
        </w:tc>
      </w:tr>
      <w:tr w:rsidR="00000000" w14:paraId="07232B0D" w14:textId="77777777">
        <w:tblPrEx>
          <w:tblCellMar>
            <w:top w:w="0" w:type="dxa"/>
            <w:bottom w:w="0" w:type="dxa"/>
          </w:tblCellMar>
        </w:tblPrEx>
        <w:trPr>
          <w:trHeight w:val="319"/>
        </w:trPr>
        <w:tc>
          <w:tcPr>
            <w:tcW w:w="1668" w:type="dxa"/>
          </w:tcPr>
          <w:p w14:paraId="117AE07D" w14:textId="77777777" w:rsidR="00000000" w:rsidRDefault="00F62566">
            <w:r>
              <w:t>Sean Hawkins</w:t>
            </w:r>
          </w:p>
        </w:tc>
        <w:tc>
          <w:tcPr>
            <w:tcW w:w="2590" w:type="dxa"/>
          </w:tcPr>
          <w:p w14:paraId="3202DF85" w14:textId="77777777" w:rsidR="00000000" w:rsidRDefault="00F62566">
            <w:r>
              <w:t>ATTWS (phone)</w:t>
            </w:r>
          </w:p>
        </w:tc>
        <w:tc>
          <w:tcPr>
            <w:tcW w:w="1911" w:type="dxa"/>
          </w:tcPr>
          <w:p w14:paraId="3345CF6D" w14:textId="77777777" w:rsidR="00000000" w:rsidRDefault="00F62566">
            <w:r>
              <w:t>Cheryl Haynes</w:t>
            </w:r>
          </w:p>
        </w:tc>
        <w:tc>
          <w:tcPr>
            <w:tcW w:w="2232" w:type="dxa"/>
          </w:tcPr>
          <w:p w14:paraId="183367D6" w14:textId="77777777" w:rsidR="00000000" w:rsidRDefault="00F62566">
            <w:r>
              <w:t>NUVOX</w:t>
            </w:r>
          </w:p>
        </w:tc>
      </w:tr>
      <w:tr w:rsidR="00000000" w14:paraId="4AD8B074" w14:textId="77777777">
        <w:tblPrEx>
          <w:tblCellMar>
            <w:top w:w="0" w:type="dxa"/>
            <w:bottom w:w="0" w:type="dxa"/>
          </w:tblCellMar>
        </w:tblPrEx>
        <w:trPr>
          <w:trHeight w:val="290"/>
        </w:trPr>
        <w:tc>
          <w:tcPr>
            <w:tcW w:w="1668" w:type="dxa"/>
          </w:tcPr>
          <w:p w14:paraId="6B374EF0" w14:textId="77777777" w:rsidR="00000000" w:rsidRDefault="00F62566">
            <w:r>
              <w:t>Ron Steen</w:t>
            </w:r>
          </w:p>
        </w:tc>
        <w:tc>
          <w:tcPr>
            <w:tcW w:w="2590" w:type="dxa"/>
          </w:tcPr>
          <w:p w14:paraId="43DC3663" w14:textId="77777777" w:rsidR="00000000" w:rsidRDefault="00F62566">
            <w:r>
              <w:t xml:space="preserve">BellSouth </w:t>
            </w:r>
          </w:p>
        </w:tc>
        <w:tc>
          <w:tcPr>
            <w:tcW w:w="1911" w:type="dxa"/>
          </w:tcPr>
          <w:p w14:paraId="721F4EB3" w14:textId="77777777" w:rsidR="00000000" w:rsidRDefault="00F62566">
            <w:pPr>
              <w:tabs>
                <w:tab w:val="right" w:pos="2116"/>
              </w:tabs>
            </w:pPr>
            <w:r>
              <w:t xml:space="preserve">Dave Garner </w:t>
            </w:r>
          </w:p>
        </w:tc>
        <w:tc>
          <w:tcPr>
            <w:tcW w:w="2232" w:type="dxa"/>
          </w:tcPr>
          <w:p w14:paraId="361B27F5" w14:textId="77777777" w:rsidR="00000000" w:rsidRDefault="00F62566">
            <w:r>
              <w:t>Qwest (phone)</w:t>
            </w:r>
          </w:p>
        </w:tc>
      </w:tr>
      <w:tr w:rsidR="00000000" w14:paraId="48533796" w14:textId="77777777">
        <w:tblPrEx>
          <w:tblCellMar>
            <w:top w:w="0" w:type="dxa"/>
            <w:bottom w:w="0" w:type="dxa"/>
          </w:tblCellMar>
        </w:tblPrEx>
        <w:trPr>
          <w:trHeight w:val="330"/>
        </w:trPr>
        <w:tc>
          <w:tcPr>
            <w:tcW w:w="1668" w:type="dxa"/>
          </w:tcPr>
          <w:p w14:paraId="75F632CC" w14:textId="77777777" w:rsidR="00000000" w:rsidRDefault="00F62566">
            <w:r>
              <w:t>Dave Cochran</w:t>
            </w:r>
          </w:p>
        </w:tc>
        <w:tc>
          <w:tcPr>
            <w:tcW w:w="2590" w:type="dxa"/>
          </w:tcPr>
          <w:p w14:paraId="0107A217" w14:textId="77777777" w:rsidR="00000000" w:rsidRDefault="00F62566">
            <w:r>
              <w:t xml:space="preserve">BellSouth </w:t>
            </w:r>
          </w:p>
        </w:tc>
        <w:tc>
          <w:tcPr>
            <w:tcW w:w="1911" w:type="dxa"/>
          </w:tcPr>
          <w:p w14:paraId="1CE20813" w14:textId="77777777" w:rsidR="00000000" w:rsidRDefault="00F62566">
            <w:r>
              <w:t>Charles Ryburn</w:t>
            </w:r>
          </w:p>
        </w:tc>
        <w:tc>
          <w:tcPr>
            <w:tcW w:w="2232" w:type="dxa"/>
          </w:tcPr>
          <w:p w14:paraId="265C91D4" w14:textId="77777777" w:rsidR="00000000" w:rsidRDefault="00F62566">
            <w:r>
              <w:t>SBC</w:t>
            </w:r>
          </w:p>
        </w:tc>
      </w:tr>
      <w:tr w:rsidR="00000000" w14:paraId="66570853" w14:textId="77777777">
        <w:tblPrEx>
          <w:tblCellMar>
            <w:top w:w="0" w:type="dxa"/>
            <w:bottom w:w="0" w:type="dxa"/>
          </w:tblCellMar>
        </w:tblPrEx>
        <w:trPr>
          <w:trHeight w:val="319"/>
        </w:trPr>
        <w:tc>
          <w:tcPr>
            <w:tcW w:w="1668" w:type="dxa"/>
          </w:tcPr>
          <w:p w14:paraId="3B885537" w14:textId="77777777" w:rsidR="00000000" w:rsidRDefault="00F62566">
            <w:r>
              <w:t>Marian Hearn</w:t>
            </w:r>
          </w:p>
        </w:tc>
        <w:tc>
          <w:tcPr>
            <w:tcW w:w="2590" w:type="dxa"/>
          </w:tcPr>
          <w:p w14:paraId="7839E75C" w14:textId="77777777" w:rsidR="00000000" w:rsidRDefault="00F62566">
            <w:r>
              <w:t>Canadian LLC</w:t>
            </w:r>
          </w:p>
        </w:tc>
        <w:tc>
          <w:tcPr>
            <w:tcW w:w="1911" w:type="dxa"/>
          </w:tcPr>
          <w:p w14:paraId="606DA018" w14:textId="77777777" w:rsidR="00000000" w:rsidRDefault="00F62566">
            <w:r>
              <w:t>Leah Luper</w:t>
            </w:r>
          </w:p>
        </w:tc>
        <w:tc>
          <w:tcPr>
            <w:tcW w:w="2232" w:type="dxa"/>
          </w:tcPr>
          <w:p w14:paraId="68A3934E" w14:textId="77777777" w:rsidR="00000000" w:rsidRDefault="00F62566">
            <w:r>
              <w:t xml:space="preserve">SBC </w:t>
            </w:r>
          </w:p>
        </w:tc>
      </w:tr>
      <w:tr w:rsidR="00000000" w14:paraId="31FB09C2" w14:textId="77777777">
        <w:tblPrEx>
          <w:tblCellMar>
            <w:top w:w="0" w:type="dxa"/>
            <w:bottom w:w="0" w:type="dxa"/>
          </w:tblCellMar>
        </w:tblPrEx>
        <w:trPr>
          <w:trHeight w:val="290"/>
        </w:trPr>
        <w:tc>
          <w:tcPr>
            <w:tcW w:w="1668" w:type="dxa"/>
          </w:tcPr>
          <w:p w14:paraId="33E7550F" w14:textId="77777777" w:rsidR="00000000" w:rsidRDefault="00F62566">
            <w:r>
              <w:t>J</w:t>
            </w:r>
            <w:r>
              <w:t>ames Grasser</w:t>
            </w:r>
          </w:p>
        </w:tc>
        <w:tc>
          <w:tcPr>
            <w:tcW w:w="2590" w:type="dxa"/>
          </w:tcPr>
          <w:p w14:paraId="4CB6F26C" w14:textId="77777777" w:rsidR="00000000" w:rsidRDefault="00F62566">
            <w:r>
              <w:t>Cingular Wireless</w:t>
            </w:r>
          </w:p>
        </w:tc>
        <w:tc>
          <w:tcPr>
            <w:tcW w:w="1911" w:type="dxa"/>
          </w:tcPr>
          <w:p w14:paraId="217EE823" w14:textId="77777777" w:rsidR="00000000" w:rsidRDefault="00F62566">
            <w:r>
              <w:t>Jeff Adrian</w:t>
            </w:r>
          </w:p>
        </w:tc>
        <w:tc>
          <w:tcPr>
            <w:tcW w:w="2232" w:type="dxa"/>
          </w:tcPr>
          <w:p w14:paraId="1C9C4475" w14:textId="77777777" w:rsidR="00000000" w:rsidRDefault="00F62566">
            <w:r>
              <w:t>Sprint</w:t>
            </w:r>
          </w:p>
        </w:tc>
      </w:tr>
      <w:tr w:rsidR="00000000" w14:paraId="0BEC5C32" w14:textId="77777777">
        <w:tblPrEx>
          <w:tblCellMar>
            <w:top w:w="0" w:type="dxa"/>
            <w:bottom w:w="0" w:type="dxa"/>
          </w:tblCellMar>
        </w:tblPrEx>
        <w:trPr>
          <w:trHeight w:val="290"/>
        </w:trPr>
        <w:tc>
          <w:tcPr>
            <w:tcW w:w="1668" w:type="dxa"/>
          </w:tcPr>
          <w:p w14:paraId="06B2155F" w14:textId="77777777" w:rsidR="00000000" w:rsidRDefault="00F62566">
            <w:r>
              <w:t>Monica Dahmen</w:t>
            </w:r>
          </w:p>
        </w:tc>
        <w:tc>
          <w:tcPr>
            <w:tcW w:w="2590" w:type="dxa"/>
          </w:tcPr>
          <w:p w14:paraId="78EA9255" w14:textId="77777777" w:rsidR="00000000" w:rsidRDefault="00F62566">
            <w:r>
              <w:t>Cox Communications</w:t>
            </w:r>
          </w:p>
        </w:tc>
        <w:tc>
          <w:tcPr>
            <w:tcW w:w="1911" w:type="dxa"/>
          </w:tcPr>
          <w:p w14:paraId="59FCC941" w14:textId="77777777" w:rsidR="00000000" w:rsidRDefault="00F62566">
            <w:r>
              <w:t>Kathleen Tedrick</w:t>
            </w:r>
          </w:p>
        </w:tc>
        <w:tc>
          <w:tcPr>
            <w:tcW w:w="2232" w:type="dxa"/>
          </w:tcPr>
          <w:p w14:paraId="51C19E8D" w14:textId="77777777" w:rsidR="00000000" w:rsidRDefault="00F62566">
            <w:r>
              <w:t xml:space="preserve">Sprint (phone) </w:t>
            </w:r>
          </w:p>
        </w:tc>
      </w:tr>
      <w:tr w:rsidR="00000000" w14:paraId="256573C5" w14:textId="77777777">
        <w:tblPrEx>
          <w:tblCellMar>
            <w:top w:w="0" w:type="dxa"/>
            <w:bottom w:w="0" w:type="dxa"/>
          </w:tblCellMar>
        </w:tblPrEx>
        <w:trPr>
          <w:trHeight w:val="290"/>
        </w:trPr>
        <w:tc>
          <w:tcPr>
            <w:tcW w:w="1668" w:type="dxa"/>
          </w:tcPr>
          <w:p w14:paraId="05999CE5" w14:textId="77777777" w:rsidR="00000000" w:rsidRDefault="00F62566">
            <w:r>
              <w:t>Ron Stutheit</w:t>
            </w:r>
          </w:p>
        </w:tc>
        <w:tc>
          <w:tcPr>
            <w:tcW w:w="2590" w:type="dxa"/>
          </w:tcPr>
          <w:p w14:paraId="7124AF8A" w14:textId="77777777" w:rsidR="00000000" w:rsidRDefault="00F62566">
            <w:r>
              <w:t>ESI</w:t>
            </w:r>
          </w:p>
        </w:tc>
        <w:tc>
          <w:tcPr>
            <w:tcW w:w="1911" w:type="dxa"/>
          </w:tcPr>
          <w:p w14:paraId="276F43BC" w14:textId="77777777" w:rsidR="00000000" w:rsidRDefault="00F62566">
            <w:r>
              <w:t>Colleen Collard</w:t>
            </w:r>
          </w:p>
        </w:tc>
        <w:tc>
          <w:tcPr>
            <w:tcW w:w="2232" w:type="dxa"/>
          </w:tcPr>
          <w:p w14:paraId="72864DD9" w14:textId="77777777" w:rsidR="00000000" w:rsidRDefault="00F62566">
            <w:r>
              <w:t xml:space="preserve">Tekelec </w:t>
            </w:r>
          </w:p>
        </w:tc>
      </w:tr>
      <w:tr w:rsidR="00000000" w14:paraId="46861FE4" w14:textId="77777777">
        <w:tblPrEx>
          <w:tblCellMar>
            <w:top w:w="0" w:type="dxa"/>
            <w:bottom w:w="0" w:type="dxa"/>
          </w:tblCellMar>
        </w:tblPrEx>
        <w:trPr>
          <w:trHeight w:val="290"/>
        </w:trPr>
        <w:tc>
          <w:tcPr>
            <w:tcW w:w="1668" w:type="dxa"/>
          </w:tcPr>
          <w:p w14:paraId="401722CF" w14:textId="77777777" w:rsidR="00000000" w:rsidRDefault="00F62566">
            <w:r>
              <w:t>Maggie Lee</w:t>
            </w:r>
          </w:p>
        </w:tc>
        <w:tc>
          <w:tcPr>
            <w:tcW w:w="2590" w:type="dxa"/>
          </w:tcPr>
          <w:p w14:paraId="529F3BA9" w14:textId="77777777" w:rsidR="00000000" w:rsidRDefault="00F62566">
            <w:r>
              <w:t>VeriSign</w:t>
            </w:r>
          </w:p>
        </w:tc>
        <w:tc>
          <w:tcPr>
            <w:tcW w:w="1911" w:type="dxa"/>
          </w:tcPr>
          <w:p w14:paraId="41C0A1C7" w14:textId="77777777" w:rsidR="00000000" w:rsidRDefault="00F62566">
            <w:r>
              <w:t xml:space="preserve">John P. Malyar </w:t>
            </w:r>
          </w:p>
        </w:tc>
        <w:tc>
          <w:tcPr>
            <w:tcW w:w="2232" w:type="dxa"/>
          </w:tcPr>
          <w:p w14:paraId="160B31E7" w14:textId="77777777" w:rsidR="00000000" w:rsidRDefault="00F62566">
            <w:r>
              <w:t>Telcordia Technologies</w:t>
            </w:r>
          </w:p>
        </w:tc>
      </w:tr>
      <w:tr w:rsidR="00000000" w14:paraId="1B7B7EA4" w14:textId="77777777">
        <w:tblPrEx>
          <w:tblCellMar>
            <w:top w:w="0" w:type="dxa"/>
            <w:bottom w:w="0" w:type="dxa"/>
          </w:tblCellMar>
        </w:tblPrEx>
        <w:trPr>
          <w:trHeight w:val="292"/>
        </w:trPr>
        <w:tc>
          <w:tcPr>
            <w:tcW w:w="1668" w:type="dxa"/>
          </w:tcPr>
          <w:p w14:paraId="228257C7" w14:textId="77777777" w:rsidR="00000000" w:rsidRDefault="00F62566">
            <w:r>
              <w:t>Rick Jones</w:t>
            </w:r>
          </w:p>
        </w:tc>
        <w:tc>
          <w:tcPr>
            <w:tcW w:w="2590" w:type="dxa"/>
          </w:tcPr>
          <w:p w14:paraId="7D6E40FC" w14:textId="77777777" w:rsidR="00000000" w:rsidRDefault="00F62566">
            <w:r>
              <w:t>NENA</w:t>
            </w:r>
          </w:p>
        </w:tc>
        <w:tc>
          <w:tcPr>
            <w:tcW w:w="1911" w:type="dxa"/>
          </w:tcPr>
          <w:p w14:paraId="09BFFFA2" w14:textId="77777777" w:rsidR="00000000" w:rsidRDefault="00F62566">
            <w:r>
              <w:t>Jean Anthony</w:t>
            </w:r>
          </w:p>
        </w:tc>
        <w:tc>
          <w:tcPr>
            <w:tcW w:w="2232" w:type="dxa"/>
          </w:tcPr>
          <w:p w14:paraId="25BE9589" w14:textId="77777777" w:rsidR="00000000" w:rsidRDefault="00F62566">
            <w:r>
              <w:t>Teleco</w:t>
            </w:r>
            <w:r>
              <w:t xml:space="preserve">m Software </w:t>
            </w:r>
          </w:p>
        </w:tc>
      </w:tr>
      <w:tr w:rsidR="00000000" w14:paraId="677A9562" w14:textId="77777777">
        <w:tblPrEx>
          <w:tblCellMar>
            <w:top w:w="0" w:type="dxa"/>
            <w:bottom w:w="0" w:type="dxa"/>
          </w:tblCellMar>
        </w:tblPrEx>
        <w:trPr>
          <w:trHeight w:val="290"/>
        </w:trPr>
        <w:tc>
          <w:tcPr>
            <w:tcW w:w="1668" w:type="dxa"/>
          </w:tcPr>
          <w:p w14:paraId="6BB61332" w14:textId="77777777" w:rsidR="00000000" w:rsidRDefault="00F62566">
            <w:r>
              <w:t>Gene Johnston</w:t>
            </w:r>
          </w:p>
        </w:tc>
        <w:tc>
          <w:tcPr>
            <w:tcW w:w="2590" w:type="dxa"/>
          </w:tcPr>
          <w:p w14:paraId="430B5927" w14:textId="77777777" w:rsidR="00000000" w:rsidRDefault="00F62566">
            <w:r>
              <w:t>NeuStar</w:t>
            </w:r>
          </w:p>
        </w:tc>
        <w:tc>
          <w:tcPr>
            <w:tcW w:w="1911" w:type="dxa"/>
          </w:tcPr>
          <w:p w14:paraId="25680DE7" w14:textId="77777777" w:rsidR="00000000" w:rsidRDefault="00F62566">
            <w:r>
              <w:t>Lisa Marie Maxson</w:t>
            </w:r>
          </w:p>
        </w:tc>
        <w:tc>
          <w:tcPr>
            <w:tcW w:w="2232" w:type="dxa"/>
          </w:tcPr>
          <w:p w14:paraId="23EA1D81" w14:textId="77777777" w:rsidR="00000000" w:rsidRDefault="00F62566">
            <w:r>
              <w:t>Telecom Software (phone)</w:t>
            </w:r>
          </w:p>
        </w:tc>
      </w:tr>
      <w:tr w:rsidR="00000000" w14:paraId="524A433C" w14:textId="77777777">
        <w:tblPrEx>
          <w:tblCellMar>
            <w:top w:w="0" w:type="dxa"/>
            <w:bottom w:w="0" w:type="dxa"/>
          </w:tblCellMar>
        </w:tblPrEx>
        <w:trPr>
          <w:trHeight w:val="265"/>
        </w:trPr>
        <w:tc>
          <w:tcPr>
            <w:tcW w:w="1668" w:type="dxa"/>
          </w:tcPr>
          <w:p w14:paraId="64C1C14B" w14:textId="77777777" w:rsidR="00000000" w:rsidRDefault="00F62566">
            <w:r>
              <w:t>Jim Rooks</w:t>
            </w:r>
          </w:p>
        </w:tc>
        <w:tc>
          <w:tcPr>
            <w:tcW w:w="2590" w:type="dxa"/>
          </w:tcPr>
          <w:p w14:paraId="78213B46" w14:textId="77777777" w:rsidR="00000000" w:rsidRDefault="00F62566">
            <w:r>
              <w:t>NeuStar</w:t>
            </w:r>
          </w:p>
        </w:tc>
        <w:tc>
          <w:tcPr>
            <w:tcW w:w="1911" w:type="dxa"/>
          </w:tcPr>
          <w:p w14:paraId="2DEBF540" w14:textId="77777777" w:rsidR="00000000" w:rsidRDefault="00F62566">
            <w:r>
              <w:t>Charlotte Holden</w:t>
            </w:r>
          </w:p>
        </w:tc>
        <w:tc>
          <w:tcPr>
            <w:tcW w:w="2232" w:type="dxa"/>
          </w:tcPr>
          <w:p w14:paraId="502C65CD" w14:textId="77777777" w:rsidR="00000000" w:rsidRDefault="00F62566">
            <w:r>
              <w:t>US Cellular</w:t>
            </w:r>
          </w:p>
        </w:tc>
      </w:tr>
      <w:tr w:rsidR="00000000" w14:paraId="5D84C329" w14:textId="77777777">
        <w:tblPrEx>
          <w:tblCellMar>
            <w:top w:w="0" w:type="dxa"/>
            <w:bottom w:w="0" w:type="dxa"/>
          </w:tblCellMar>
        </w:tblPrEx>
        <w:trPr>
          <w:trHeight w:val="290"/>
        </w:trPr>
        <w:tc>
          <w:tcPr>
            <w:tcW w:w="1668" w:type="dxa"/>
          </w:tcPr>
          <w:p w14:paraId="060245DE" w14:textId="77777777" w:rsidR="00000000" w:rsidRDefault="00F62566">
            <w:r>
              <w:t>John Nakamura</w:t>
            </w:r>
          </w:p>
        </w:tc>
        <w:tc>
          <w:tcPr>
            <w:tcW w:w="2590" w:type="dxa"/>
          </w:tcPr>
          <w:p w14:paraId="203F0CCC" w14:textId="77777777" w:rsidR="00000000" w:rsidRDefault="00F62566">
            <w:r>
              <w:t>NeuStar</w:t>
            </w:r>
          </w:p>
        </w:tc>
        <w:tc>
          <w:tcPr>
            <w:tcW w:w="1911" w:type="dxa"/>
          </w:tcPr>
          <w:p w14:paraId="2DDABBF6" w14:textId="77777777" w:rsidR="00000000" w:rsidRDefault="00F62566">
            <w:r>
              <w:t>Gary Sacra</w:t>
            </w:r>
          </w:p>
        </w:tc>
        <w:tc>
          <w:tcPr>
            <w:tcW w:w="2232" w:type="dxa"/>
          </w:tcPr>
          <w:p w14:paraId="3B699BA4" w14:textId="77777777" w:rsidR="00000000" w:rsidRDefault="00F62566">
            <w:r>
              <w:t>Verizon</w:t>
            </w:r>
          </w:p>
        </w:tc>
      </w:tr>
      <w:tr w:rsidR="00000000" w14:paraId="1B4A7DA5" w14:textId="77777777">
        <w:tblPrEx>
          <w:tblCellMar>
            <w:top w:w="0" w:type="dxa"/>
            <w:bottom w:w="0" w:type="dxa"/>
          </w:tblCellMar>
        </w:tblPrEx>
        <w:trPr>
          <w:trHeight w:val="290"/>
        </w:trPr>
        <w:tc>
          <w:tcPr>
            <w:tcW w:w="1668" w:type="dxa"/>
          </w:tcPr>
          <w:p w14:paraId="493FDAE7" w14:textId="77777777" w:rsidR="00000000" w:rsidRDefault="00F62566">
            <w:r>
              <w:t>Larry Vagnoni</w:t>
            </w:r>
          </w:p>
        </w:tc>
        <w:tc>
          <w:tcPr>
            <w:tcW w:w="2590" w:type="dxa"/>
          </w:tcPr>
          <w:p w14:paraId="31BDB60C" w14:textId="77777777" w:rsidR="00000000" w:rsidRDefault="00F62566">
            <w:r>
              <w:t>NeuStar</w:t>
            </w:r>
          </w:p>
        </w:tc>
        <w:tc>
          <w:tcPr>
            <w:tcW w:w="1911" w:type="dxa"/>
          </w:tcPr>
          <w:p w14:paraId="55FDB3F0" w14:textId="77777777" w:rsidR="00000000" w:rsidRDefault="00F62566">
            <w:r>
              <w:t>Jason Lee</w:t>
            </w:r>
          </w:p>
        </w:tc>
        <w:tc>
          <w:tcPr>
            <w:tcW w:w="2232" w:type="dxa"/>
          </w:tcPr>
          <w:p w14:paraId="00ECE644" w14:textId="77777777" w:rsidR="00000000" w:rsidRDefault="00F62566">
            <w:r>
              <w:t xml:space="preserve">WorldCom </w:t>
            </w:r>
          </w:p>
        </w:tc>
      </w:tr>
      <w:tr w:rsidR="00000000" w14:paraId="15C6F557" w14:textId="77777777">
        <w:tblPrEx>
          <w:tblCellMar>
            <w:top w:w="0" w:type="dxa"/>
            <w:bottom w:w="0" w:type="dxa"/>
          </w:tblCellMar>
        </w:tblPrEx>
        <w:trPr>
          <w:trHeight w:val="290"/>
        </w:trPr>
        <w:tc>
          <w:tcPr>
            <w:tcW w:w="1668" w:type="dxa"/>
          </w:tcPr>
          <w:p w14:paraId="13C2EC9A" w14:textId="77777777" w:rsidR="00000000" w:rsidRDefault="00F62566">
            <w:r>
              <w:t>Marcel Champagne</w:t>
            </w:r>
          </w:p>
        </w:tc>
        <w:tc>
          <w:tcPr>
            <w:tcW w:w="2590" w:type="dxa"/>
          </w:tcPr>
          <w:p w14:paraId="37FB7DC4" w14:textId="77777777" w:rsidR="00000000" w:rsidRDefault="00F62566">
            <w:r>
              <w:t>NeuStar</w:t>
            </w:r>
          </w:p>
        </w:tc>
        <w:tc>
          <w:tcPr>
            <w:tcW w:w="1911" w:type="dxa"/>
          </w:tcPr>
          <w:p w14:paraId="461491AC" w14:textId="77777777" w:rsidR="00000000" w:rsidRDefault="00F62566">
            <w:r>
              <w:t>Steve Addicks</w:t>
            </w:r>
          </w:p>
        </w:tc>
        <w:tc>
          <w:tcPr>
            <w:tcW w:w="2232" w:type="dxa"/>
          </w:tcPr>
          <w:p w14:paraId="1E253DF7" w14:textId="77777777" w:rsidR="00000000" w:rsidRDefault="00F62566">
            <w:r>
              <w:t>World</w:t>
            </w:r>
            <w:r>
              <w:t>Com</w:t>
            </w:r>
          </w:p>
        </w:tc>
      </w:tr>
    </w:tbl>
    <w:p w14:paraId="0CBEBE76" w14:textId="77777777" w:rsidR="00000000" w:rsidRDefault="00F62566">
      <w:pPr>
        <w:pStyle w:val="Header"/>
        <w:tabs>
          <w:tab w:val="clear" w:pos="4320"/>
          <w:tab w:val="clear" w:pos="8640"/>
        </w:tabs>
      </w:pPr>
      <w:r>
        <w:t xml:space="preserve"> </w:t>
      </w:r>
    </w:p>
    <w:p w14:paraId="0C9D5CA8" w14:textId="77777777" w:rsidR="00000000" w:rsidRDefault="00F62566">
      <w:pPr>
        <w:pStyle w:val="Header"/>
        <w:tabs>
          <w:tab w:val="clear" w:pos="4320"/>
          <w:tab w:val="clear" w:pos="8640"/>
        </w:tabs>
        <w:rPr>
          <w:b/>
          <w:sz w:val="24"/>
          <w:u w:val="single"/>
        </w:rPr>
      </w:pPr>
      <w:r>
        <w:rPr>
          <w:b/>
          <w:sz w:val="24"/>
          <w:u w:val="single"/>
        </w:rPr>
        <w:t>Change Management:</w:t>
      </w:r>
    </w:p>
    <w:p w14:paraId="0BF85DD2" w14:textId="77777777" w:rsidR="00000000" w:rsidRDefault="00F62566">
      <w:pPr>
        <w:pStyle w:val="Header"/>
        <w:tabs>
          <w:tab w:val="clear" w:pos="4320"/>
          <w:tab w:val="clear" w:pos="8640"/>
        </w:tabs>
        <w:rPr>
          <w:b/>
          <w:sz w:val="24"/>
          <w:u w:val="single"/>
        </w:rPr>
      </w:pPr>
    </w:p>
    <w:p w14:paraId="5233EB06" w14:textId="77777777" w:rsidR="00000000" w:rsidRDefault="00F62566">
      <w:r>
        <w:rPr>
          <w:u w:val="single"/>
        </w:rPr>
        <w:t>Change Management Administration:</w:t>
      </w:r>
    </w:p>
    <w:p w14:paraId="2CCC25B0" w14:textId="77777777" w:rsidR="00000000" w:rsidRDefault="00F62566">
      <w:pPr>
        <w:pStyle w:val="TableText"/>
        <w:spacing w:before="0" w:after="0"/>
      </w:pPr>
    </w:p>
    <w:p w14:paraId="2ECEA8FB" w14:textId="77777777" w:rsidR="00000000" w:rsidRDefault="00F62566" w:rsidP="00F62566">
      <w:pPr>
        <w:pStyle w:val="TableText"/>
        <w:numPr>
          <w:ilvl w:val="0"/>
          <w:numId w:val="9"/>
        </w:numPr>
        <w:spacing w:before="0" w:after="0"/>
      </w:pPr>
      <w:r>
        <w:t>Charles Ryburn provided a readout of the May NANC decision on the CMA issue.  Selected NANC members are drafting a letter to the FCC recommending that NeuStar can bring the CMA function in-house</w:t>
      </w:r>
      <w:r>
        <w:t>.  The letter is currently circulating among the NANC members for review.</w:t>
      </w:r>
    </w:p>
    <w:p w14:paraId="49356912" w14:textId="77777777" w:rsidR="00000000" w:rsidRDefault="00F62566">
      <w:pPr>
        <w:pStyle w:val="TableText"/>
        <w:spacing w:before="0" w:after="0"/>
      </w:pPr>
    </w:p>
    <w:p w14:paraId="210CA0BF" w14:textId="77777777" w:rsidR="00000000" w:rsidRDefault="00F62566">
      <w:pPr>
        <w:pStyle w:val="TableText"/>
        <w:spacing w:before="0" w:after="0"/>
        <w:rPr>
          <w:b/>
          <w:u w:val="single"/>
        </w:rPr>
      </w:pPr>
      <w:r>
        <w:rPr>
          <w:b/>
          <w:u w:val="single"/>
        </w:rPr>
        <w:t>NPAC Release 3.1 Stability:</w:t>
      </w:r>
    </w:p>
    <w:p w14:paraId="7C7F849E" w14:textId="77777777" w:rsidR="00000000" w:rsidRDefault="00F62566">
      <w:pPr>
        <w:pStyle w:val="TableText"/>
        <w:spacing w:before="0" w:after="0"/>
        <w:rPr>
          <w:sz w:val="24"/>
          <w:u w:val="single"/>
        </w:rPr>
      </w:pPr>
    </w:p>
    <w:p w14:paraId="430F9B4F" w14:textId="77777777" w:rsidR="00000000" w:rsidRDefault="00F62566" w:rsidP="00F62566">
      <w:pPr>
        <w:pStyle w:val="TableText"/>
        <w:numPr>
          <w:ilvl w:val="0"/>
          <w:numId w:val="22"/>
        </w:numPr>
        <w:spacing w:before="0" w:after="0"/>
      </w:pPr>
      <w:r>
        <w:rPr>
          <w:u w:val="single"/>
        </w:rPr>
        <w:t>LSMS Recovery</w:t>
      </w:r>
    </w:p>
    <w:p w14:paraId="48C5ED8E" w14:textId="77777777" w:rsidR="00000000" w:rsidRDefault="00F62566">
      <w:pPr>
        <w:pStyle w:val="TableText"/>
        <w:spacing w:before="0" w:after="0"/>
        <w:ind w:left="360"/>
      </w:pPr>
      <w:r>
        <w:t>NeuStar stated that problems with recovery persist even after limiting range activities to 1K TNs.  In the Mid-Atlantic Region, a provider</w:t>
      </w:r>
      <w:r>
        <w:t xml:space="preserve"> attempting LSMS recovery couldn’t handle the size of the </w:t>
      </w:r>
      <w:proofErr w:type="gramStart"/>
      <w:r>
        <w:t>PDU, and</w:t>
      </w:r>
      <w:proofErr w:type="gramEnd"/>
      <w:r>
        <w:t xml:space="preserve"> kept aborting and requesting the same time range for every recovery attempt.  This began a cycle of aborts and recovery attempts, each time generating notifications for each TN.  This resul</w:t>
      </w:r>
      <w:r>
        <w:t xml:space="preserve">ted in about 300K notifications to queue up for Verizon’s SOA and flooded NPAC with numerous recovery attempts.  Jim Rooks, NeuStar, suggested that NPAC may have to stop servicing a </w:t>
      </w:r>
      <w:proofErr w:type="gramStart"/>
      <w:r>
        <w:t>providers recovery requests</w:t>
      </w:r>
      <w:proofErr w:type="gramEnd"/>
      <w:r>
        <w:t xml:space="preserve"> if the provider requests the same time range t</w:t>
      </w:r>
      <w:r>
        <w:t xml:space="preserve">wice.  </w:t>
      </w:r>
    </w:p>
    <w:p w14:paraId="6C3741D7" w14:textId="77777777" w:rsidR="00000000" w:rsidRDefault="00F62566">
      <w:pPr>
        <w:pStyle w:val="TableText"/>
        <w:spacing w:before="0" w:after="0"/>
        <w:ind w:left="360"/>
        <w:rPr>
          <w:u w:val="single"/>
        </w:rPr>
      </w:pPr>
      <w:r>
        <w:rPr>
          <w:u w:val="single"/>
        </w:rPr>
        <w:t>Path Forward</w:t>
      </w:r>
    </w:p>
    <w:p w14:paraId="1EE5CC78" w14:textId="77777777" w:rsidR="00000000" w:rsidRDefault="00F62566">
      <w:pPr>
        <w:pStyle w:val="TableText"/>
        <w:spacing w:before="0" w:after="0"/>
        <w:ind w:left="360"/>
      </w:pPr>
      <w:r>
        <w:t xml:space="preserve">Ron Stutheit, ESI, suggested that NPAC send back “Criteria Too Large” when an LSMS or SOA requests the same recovery time frame twice.  This will cause an LSMS or SOA to reduce the time window on the next recovery request.  Jim Rooks, </w:t>
      </w:r>
      <w:r>
        <w:t xml:space="preserve">NeuStar, will investigate feasibility and report back at the July LNPA.  NeuStar and local system vendors will pursue recreating this problem in test to </w:t>
      </w:r>
      <w:r>
        <w:lastRenderedPageBreak/>
        <w:t>identify root cause of why some production systems cannot accept some PDUs with fewer TNs than what the</w:t>
      </w:r>
      <w:r>
        <w:t>y tested.  Rob Coffman, NeuStar, will coordinate this testing.  He will provide a status report via e-mail on 6/28.</w:t>
      </w:r>
    </w:p>
    <w:p w14:paraId="70E1D8B4" w14:textId="77777777" w:rsidR="00000000" w:rsidRDefault="00F62566">
      <w:pPr>
        <w:pStyle w:val="TableText"/>
        <w:spacing w:before="0" w:after="0"/>
        <w:ind w:left="360"/>
      </w:pPr>
    </w:p>
    <w:p w14:paraId="23436BAD" w14:textId="77777777" w:rsidR="00000000" w:rsidRDefault="00F62566">
      <w:pPr>
        <w:pStyle w:val="TableText"/>
        <w:spacing w:before="0" w:after="0"/>
        <w:ind w:left="360"/>
      </w:pPr>
      <w:r>
        <w:t xml:space="preserve">NeuStar will send out a notice to the X-Regional distribution explaining the problem and advising service providers that if they appear to </w:t>
      </w:r>
      <w:r>
        <w:t xml:space="preserve">be in recovery for extended </w:t>
      </w:r>
      <w:proofErr w:type="gramStart"/>
      <w:r>
        <w:t>period of time</w:t>
      </w:r>
      <w:proofErr w:type="gramEnd"/>
      <w:r>
        <w:t>, stop if they can and contact NPAC.</w:t>
      </w:r>
    </w:p>
    <w:p w14:paraId="6C86901B" w14:textId="77777777" w:rsidR="00000000" w:rsidRDefault="00F62566">
      <w:pPr>
        <w:pStyle w:val="TableText"/>
        <w:spacing w:before="0" w:after="0"/>
      </w:pPr>
    </w:p>
    <w:p w14:paraId="015347DC" w14:textId="77777777" w:rsidR="00000000" w:rsidRDefault="00F62566" w:rsidP="00F62566">
      <w:pPr>
        <w:pStyle w:val="TableText"/>
        <w:numPr>
          <w:ilvl w:val="0"/>
          <w:numId w:val="23"/>
        </w:numPr>
        <w:spacing w:before="0" w:after="0"/>
        <w:rPr>
          <w:u w:val="single"/>
        </w:rPr>
      </w:pPr>
      <w:r>
        <w:rPr>
          <w:u w:val="single"/>
        </w:rPr>
        <w:t>Service Provider Maintenance Window</w:t>
      </w:r>
    </w:p>
    <w:p w14:paraId="72F873B3" w14:textId="77777777" w:rsidR="00000000" w:rsidRDefault="00F62566">
      <w:pPr>
        <w:pStyle w:val="TableText"/>
        <w:spacing w:before="0" w:after="0"/>
        <w:ind w:left="420"/>
      </w:pPr>
      <w:r>
        <w:t xml:space="preserve">PIM 2 documents the industry agreements for a cooperative maintenance window.  The LNPA agreed to expand the PIM’s definition of prohibited </w:t>
      </w:r>
      <w:r>
        <w:t>porting activity to include all CREATEs, SV and Block Activates, Modifies, and Disconnects.  The goal here is to eliminate as much activity as possible that generates any SOA or LSMS messages during the maintenance window so service providers do not have a</w:t>
      </w:r>
      <w:r>
        <w:t>ny messages to recover when they come back on-line at the end of the window.  NeuStar will notify the industry of this change at the next X-Regional meeting and send out an e-mail to the distribution lists.  The LNPA WG agreed to revise PIM 2 to capture ne</w:t>
      </w:r>
      <w:r>
        <w:t>w porting definitions and revised maintenance windows.</w:t>
      </w:r>
    </w:p>
    <w:p w14:paraId="407B7D62" w14:textId="77777777" w:rsidR="00000000" w:rsidRDefault="00F62566">
      <w:pPr>
        <w:pStyle w:val="TableText"/>
        <w:spacing w:before="0" w:after="0"/>
        <w:ind w:left="420"/>
      </w:pPr>
    </w:p>
    <w:p w14:paraId="5C85F86F" w14:textId="77777777" w:rsidR="00000000" w:rsidRDefault="00F62566">
      <w:pPr>
        <w:pStyle w:val="TableText"/>
        <w:spacing w:before="0" w:after="0"/>
        <w:ind w:left="420"/>
      </w:pPr>
      <w:r>
        <w:t>Charles Ryburn will send a request to Jim Grasser, WNPO Chair, asking that the WNPO provide their definition of “porting activity” in relationship to the maintenance window.</w:t>
      </w:r>
    </w:p>
    <w:p w14:paraId="1A98A061" w14:textId="77777777" w:rsidR="00000000" w:rsidRDefault="00F62566">
      <w:pPr>
        <w:pStyle w:val="TableText"/>
        <w:spacing w:before="0" w:after="0"/>
        <w:ind w:left="420"/>
      </w:pPr>
    </w:p>
    <w:p w14:paraId="6C4D6BD9" w14:textId="77777777" w:rsidR="00000000" w:rsidRDefault="00F62566">
      <w:pPr>
        <w:pStyle w:val="TableText"/>
        <w:spacing w:before="0" w:after="0"/>
        <w:ind w:left="420"/>
      </w:pPr>
      <w:r>
        <w:t>The LNPA agreed to modify</w:t>
      </w:r>
      <w:r>
        <w:t xml:space="preserve"> the Service Provider Maintenance Window document to capture the adjusted window timeframes and additional porting activity definitions.</w:t>
      </w:r>
    </w:p>
    <w:p w14:paraId="712F5007" w14:textId="77777777" w:rsidR="00000000" w:rsidRDefault="00F62566">
      <w:pPr>
        <w:pStyle w:val="TableText"/>
        <w:spacing w:before="0" w:after="0"/>
      </w:pPr>
    </w:p>
    <w:p w14:paraId="3F1E0179" w14:textId="77777777" w:rsidR="00000000" w:rsidRDefault="00F62566" w:rsidP="00F62566">
      <w:pPr>
        <w:pStyle w:val="TableText"/>
        <w:numPr>
          <w:ilvl w:val="0"/>
          <w:numId w:val="24"/>
        </w:numPr>
        <w:spacing w:before="0" w:after="0"/>
      </w:pPr>
      <w:r>
        <w:rPr>
          <w:u w:val="single"/>
        </w:rPr>
        <w:t>Bulk Data Downloads (BDDs)</w:t>
      </w:r>
    </w:p>
    <w:p w14:paraId="7D2B4C34" w14:textId="77777777" w:rsidR="00000000" w:rsidRDefault="00F62566">
      <w:pPr>
        <w:pStyle w:val="TableText"/>
        <w:spacing w:before="0" w:after="0"/>
        <w:ind w:left="360"/>
      </w:pPr>
      <w:r>
        <w:t>Dave Cochran, BellSouth, questioned the viability of BDDs as a recovery mechanism.  He stat</w:t>
      </w:r>
      <w:r>
        <w:t xml:space="preserve">ed that some BDDs were so </w:t>
      </w:r>
      <w:proofErr w:type="gramStart"/>
      <w:r>
        <w:t>large</w:t>
      </w:r>
      <w:proofErr w:type="gramEnd"/>
      <w:r>
        <w:t xml:space="preserve"> and they take so long to roll in, when they complete, they need another BDD to catch up.  Jim Rooks, NeuStar, said the shear size of the database (700 MB zipped) is a major strain on NPAC.  Jim stated that NANC Change Order </w:t>
      </w:r>
      <w:r>
        <w:t xml:space="preserve">169, which will provide for a delta BDD, will help this issue.  Dave suggested that we include this as an issue for the </w:t>
      </w:r>
      <w:proofErr w:type="gramStart"/>
      <w:r>
        <w:t>long term</w:t>
      </w:r>
      <w:proofErr w:type="gramEnd"/>
      <w:r>
        <w:t xml:space="preserve"> interface solution.</w:t>
      </w:r>
    </w:p>
    <w:p w14:paraId="01177183" w14:textId="77777777" w:rsidR="00000000" w:rsidRDefault="00F62566">
      <w:pPr>
        <w:pStyle w:val="TableText"/>
        <w:spacing w:before="0" w:after="0"/>
      </w:pPr>
    </w:p>
    <w:p w14:paraId="7B6A6390" w14:textId="77777777" w:rsidR="00000000" w:rsidRDefault="00F62566" w:rsidP="00F62566">
      <w:pPr>
        <w:pStyle w:val="TableText"/>
        <w:numPr>
          <w:ilvl w:val="0"/>
          <w:numId w:val="25"/>
        </w:numPr>
        <w:spacing w:before="0" w:after="0"/>
      </w:pPr>
      <w:r>
        <w:rPr>
          <w:u w:val="single"/>
        </w:rPr>
        <w:t>NPAC Database Lockups</w:t>
      </w:r>
    </w:p>
    <w:p w14:paraId="3B7A7543" w14:textId="77777777" w:rsidR="00000000" w:rsidRDefault="00F62566">
      <w:pPr>
        <w:pStyle w:val="TableText"/>
        <w:spacing w:before="0" w:after="0"/>
        <w:ind w:left="420"/>
      </w:pPr>
      <w:r>
        <w:t>At the request of Verizon, NeuStar described an issue that has occurred a number of</w:t>
      </w:r>
      <w:r>
        <w:t xml:space="preserve"> times in the Northeast Region, whereby long-running database transactions requested by a service provider (</w:t>
      </w:r>
      <w:proofErr w:type="gramStart"/>
      <w:r>
        <w:t>e.g.</w:t>
      </w:r>
      <w:proofErr w:type="gramEnd"/>
      <w:r>
        <w:t xml:space="preserve"> queries) have locked up the NPAC database and halted operations for other providers.  Jim Rooks, NeuStar, said that NPAC has identified certain</w:t>
      </w:r>
      <w:r>
        <w:t xml:space="preserve"> transaction requests as inefficient and directs them to a single SMS engine for processing, thus not tying up the other SMS engines.  Jim said there is a NANC Change Order (yet to be numbered) that will further define additional transactions as inefficien</w:t>
      </w:r>
      <w:r>
        <w:t>t.</w:t>
      </w:r>
    </w:p>
    <w:p w14:paraId="63F16A92" w14:textId="77777777" w:rsidR="00000000" w:rsidRDefault="00F62566">
      <w:pPr>
        <w:pStyle w:val="TableText"/>
        <w:spacing w:before="0" w:after="0"/>
      </w:pPr>
    </w:p>
    <w:p w14:paraId="3F925E12" w14:textId="77777777" w:rsidR="00000000" w:rsidRDefault="00F62566">
      <w:pPr>
        <w:pStyle w:val="TableText"/>
        <w:spacing w:before="0" w:after="0"/>
      </w:pPr>
    </w:p>
    <w:p w14:paraId="6D2FBC1E" w14:textId="77777777" w:rsidR="00000000" w:rsidRDefault="00F62566">
      <w:pPr>
        <w:pStyle w:val="TableText"/>
        <w:spacing w:before="0" w:after="0"/>
        <w:rPr>
          <w:b/>
        </w:rPr>
      </w:pPr>
      <w:r>
        <w:rPr>
          <w:b/>
          <w:u w:val="single"/>
        </w:rPr>
        <w:t>New Business:</w:t>
      </w:r>
    </w:p>
    <w:p w14:paraId="5B50B419" w14:textId="77777777" w:rsidR="00000000" w:rsidRDefault="00F62566">
      <w:pPr>
        <w:pStyle w:val="TableText"/>
        <w:spacing w:before="0" w:after="0"/>
      </w:pPr>
    </w:p>
    <w:p w14:paraId="4219FDD2" w14:textId="77777777" w:rsidR="00000000" w:rsidRDefault="00F62566" w:rsidP="00F62566">
      <w:pPr>
        <w:pStyle w:val="List"/>
        <w:numPr>
          <w:ilvl w:val="0"/>
          <w:numId w:val="26"/>
        </w:numPr>
      </w:pPr>
      <w:r>
        <w:t xml:space="preserve">At the request </w:t>
      </w:r>
      <w:proofErr w:type="gramStart"/>
      <w:r>
        <w:t>of  the</w:t>
      </w:r>
      <w:proofErr w:type="gramEnd"/>
      <w:r>
        <w:t xml:space="preserve"> LNPA Working Group, NeuStar will document and publish the process for bringing service providers back on-line after an NPAC outage.</w:t>
      </w:r>
    </w:p>
    <w:p w14:paraId="7A2B39DA" w14:textId="77777777" w:rsidR="00000000" w:rsidRDefault="00F62566">
      <w:pPr>
        <w:pStyle w:val="TableText"/>
        <w:spacing w:before="0" w:after="0"/>
        <w:rPr>
          <w:b/>
          <w:u w:val="single"/>
        </w:rPr>
      </w:pPr>
    </w:p>
    <w:p w14:paraId="675754DB" w14:textId="77777777" w:rsidR="00000000" w:rsidRDefault="00F62566"/>
    <w:p w14:paraId="1C5F4EB8" w14:textId="77777777" w:rsidR="00000000" w:rsidRDefault="00F62566">
      <w:pPr>
        <w:pStyle w:val="Header"/>
        <w:tabs>
          <w:tab w:val="clear" w:pos="4320"/>
          <w:tab w:val="clear" w:pos="8640"/>
        </w:tabs>
        <w:rPr>
          <w:sz w:val="24"/>
        </w:rPr>
      </w:pPr>
      <w:r>
        <w:br w:type="page"/>
      </w:r>
    </w:p>
    <w:p w14:paraId="0F5BB7AC" w14:textId="77777777" w:rsidR="00000000" w:rsidRDefault="00F62566">
      <w:pPr>
        <w:rPr>
          <w:rFonts w:ascii="Bookman Old Style" w:hAnsi="Bookman Old Style"/>
          <w:b/>
          <w:sz w:val="24"/>
        </w:rPr>
      </w:pPr>
    </w:p>
    <w:p w14:paraId="4CA1F842" w14:textId="77777777" w:rsidR="00000000" w:rsidRDefault="00F62566"/>
    <w:p w14:paraId="7CBDCD58" w14:textId="77777777" w:rsidR="00000000" w:rsidRDefault="00F62566">
      <w:pPr>
        <w:rPr>
          <w:b/>
          <w:sz w:val="24"/>
          <w:u w:val="single"/>
        </w:rPr>
      </w:pPr>
      <w:r>
        <w:rPr>
          <w:b/>
          <w:sz w:val="24"/>
          <w:u w:val="single"/>
        </w:rPr>
        <w:t>Next Meeting:</w:t>
      </w:r>
    </w:p>
    <w:p w14:paraId="187BB337" w14:textId="77777777" w:rsidR="00000000" w:rsidRDefault="00F62566"/>
    <w:p w14:paraId="5C96FD66" w14:textId="77777777" w:rsidR="00000000" w:rsidRDefault="00F62566">
      <w:r>
        <w:t xml:space="preserve">Future meetings have been shifted forward </w:t>
      </w:r>
      <w:proofErr w:type="gramStart"/>
      <w:r>
        <w:t>one half</w:t>
      </w:r>
      <w:proofErr w:type="gramEnd"/>
      <w:r>
        <w:t xml:space="preserve"> day, to f</w:t>
      </w:r>
      <w:r>
        <w:t>ull days on Wednesdays and Thursdays, in order to accommodate the WNPO committee's need for additional meeting time.</w:t>
      </w:r>
    </w:p>
    <w:p w14:paraId="278429A4" w14:textId="77777777" w:rsidR="00000000" w:rsidRDefault="00F62566"/>
    <w:p w14:paraId="143E4E86" w14:textId="77777777" w:rsidR="00000000" w:rsidRDefault="00F62566">
      <w:r>
        <w:t>The next LNPA-WG meeting will be held at Chicago, IL. July 10-11.</w:t>
      </w:r>
    </w:p>
    <w:p w14:paraId="35572B45" w14:textId="77777777" w:rsidR="00000000" w:rsidRDefault="00F62566"/>
    <w:p w14:paraId="6C23BF92" w14:textId="77777777" w:rsidR="00000000" w:rsidRDefault="00F62566"/>
    <w:p w14:paraId="32792526" w14:textId="77777777" w:rsidR="00000000" w:rsidRDefault="00F62566">
      <w:pPr>
        <w:pStyle w:val="anotes"/>
        <w:ind w:left="0"/>
        <w:rPr>
          <w:b/>
          <w:sz w:val="24"/>
          <w:u w:val="single"/>
        </w:rPr>
      </w:pPr>
      <w:r>
        <w:rPr>
          <w:b/>
          <w:sz w:val="24"/>
          <w:u w:val="single"/>
        </w:rPr>
        <w:t>Meeting Schedule:</w:t>
      </w:r>
    </w:p>
    <w:p w14:paraId="6C92E5DD" w14:textId="77777777" w:rsidR="00000000" w:rsidRDefault="00F62566">
      <w:pPr>
        <w:rPr>
          <w:b/>
          <w:u w:val="single"/>
        </w:rPr>
      </w:pPr>
    </w:p>
    <w:p w14:paraId="5A893EED" w14:textId="77777777" w:rsidR="00000000" w:rsidRDefault="00F62566">
      <w:pPr>
        <w:rPr>
          <w:b/>
          <w:u w:val="single"/>
        </w:rPr>
      </w:pPr>
      <w:r>
        <w:rPr>
          <w:b/>
          <w:u w:val="single"/>
        </w:rPr>
        <w:t>2002 Meeting Schedule:</w:t>
      </w:r>
    </w:p>
    <w:p w14:paraId="5E3FFCD0" w14:textId="77777777" w:rsidR="00000000" w:rsidRDefault="00F62566"/>
    <w:p w14:paraId="57D294EC" w14:textId="77777777" w:rsidR="00000000" w:rsidRDefault="00F62566">
      <w:r>
        <w:rPr>
          <w:u w:val="single"/>
        </w:rPr>
        <w:t>LNPA WG:</w:t>
      </w:r>
      <w:r>
        <w:tab/>
      </w:r>
      <w:r>
        <w:tab/>
      </w:r>
      <w:r>
        <w:tab/>
      </w:r>
      <w:r>
        <w:tab/>
      </w:r>
      <w:r>
        <w:rPr>
          <w:u w:val="single"/>
        </w:rPr>
        <w:t>Host:</w:t>
      </w:r>
    </w:p>
    <w:p w14:paraId="44A80803" w14:textId="77777777" w:rsidR="00000000" w:rsidRDefault="00F62566">
      <w:r>
        <w:t xml:space="preserve">July 9 - </w:t>
      </w:r>
      <w:r>
        <w:t>11</w:t>
      </w:r>
      <w:r>
        <w:tab/>
      </w:r>
      <w:r>
        <w:tab/>
      </w:r>
      <w:r>
        <w:tab/>
      </w:r>
      <w:r>
        <w:tab/>
        <w:t>US Cellular - Chicago</w:t>
      </w:r>
    </w:p>
    <w:p w14:paraId="7D48329A" w14:textId="77777777" w:rsidR="00000000" w:rsidRDefault="00F62566">
      <w:r>
        <w:t>August 13 - 15</w:t>
      </w:r>
      <w:r>
        <w:tab/>
      </w:r>
      <w:r>
        <w:tab/>
      </w:r>
      <w:r>
        <w:tab/>
      </w:r>
      <w:r>
        <w:tab/>
        <w:t xml:space="preserve">Canadian Consortium, Vancouver, British </w:t>
      </w:r>
      <w:proofErr w:type="gramStart"/>
      <w:r>
        <w:t>Columbia,Canada</w:t>
      </w:r>
      <w:proofErr w:type="gramEnd"/>
    </w:p>
    <w:p w14:paraId="55CA4424" w14:textId="77777777" w:rsidR="00000000" w:rsidRDefault="00F62566">
      <w:r>
        <w:t>September 17 - 19</w:t>
      </w:r>
      <w:r>
        <w:tab/>
      </w:r>
      <w:r>
        <w:tab/>
      </w:r>
      <w:r>
        <w:tab/>
        <w:t>Verizon, Baltimore, MD</w:t>
      </w:r>
    </w:p>
    <w:p w14:paraId="4BA4FF34" w14:textId="77777777" w:rsidR="00000000" w:rsidRDefault="00F62566">
      <w:r>
        <w:t>October 15 - 17</w:t>
      </w:r>
      <w:r>
        <w:tab/>
      </w:r>
      <w:r>
        <w:tab/>
      </w:r>
      <w:r>
        <w:tab/>
      </w:r>
      <w:r>
        <w:tab/>
        <w:t>ESI, Denver, CO</w:t>
      </w:r>
    </w:p>
    <w:p w14:paraId="13DF5DD6" w14:textId="77777777" w:rsidR="00000000" w:rsidRDefault="00F62566">
      <w:r>
        <w:t>November 12 - 14</w:t>
      </w:r>
      <w:r>
        <w:tab/>
      </w:r>
      <w:r>
        <w:tab/>
      </w:r>
      <w:r>
        <w:tab/>
        <w:t>Cox Communications- Atlanta</w:t>
      </w:r>
    </w:p>
    <w:p w14:paraId="7B1F9C73" w14:textId="77777777" w:rsidR="00000000" w:rsidRDefault="00F62566">
      <w:r>
        <w:t>December 10 - 12</w:t>
      </w:r>
      <w:r>
        <w:tab/>
      </w:r>
      <w:r>
        <w:tab/>
      </w:r>
      <w:r>
        <w:tab/>
        <w:t>Nextel Par</w:t>
      </w:r>
      <w:r>
        <w:t>tners – Las Vegas</w:t>
      </w:r>
    </w:p>
    <w:p w14:paraId="06C1F373" w14:textId="77777777" w:rsidR="00000000" w:rsidRDefault="00F62566">
      <w:pPr>
        <w:rPr>
          <w:b/>
        </w:rPr>
      </w:pPr>
    </w:p>
    <w:p w14:paraId="59A52611" w14:textId="77777777" w:rsidR="00000000" w:rsidRDefault="00F62566"/>
    <w:p w14:paraId="2FB24939" w14:textId="77777777" w:rsidR="00000000" w:rsidRDefault="00F62566">
      <w:pPr>
        <w:rPr>
          <w:b/>
          <w:sz w:val="24"/>
        </w:rPr>
      </w:pPr>
    </w:p>
    <w:p w14:paraId="65AFCA86" w14:textId="77777777" w:rsidR="00000000" w:rsidRDefault="00F62566">
      <w:pPr>
        <w:rPr>
          <w:b/>
          <w:sz w:val="24"/>
        </w:rPr>
      </w:pPr>
    </w:p>
    <w:p w14:paraId="23F96713" w14:textId="77777777" w:rsidR="00000000" w:rsidRDefault="00F62566">
      <w:pPr>
        <w:rPr>
          <w:b/>
          <w:color w:val="000000"/>
        </w:rPr>
      </w:pPr>
    </w:p>
    <w:sectPr w:rsidR="00000000">
      <w:headerReference w:type="default" r:id="rId15"/>
      <w:footerReference w:type="default" r:id="rId16"/>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7560" w14:textId="77777777" w:rsidR="00000000" w:rsidRDefault="00F62566">
      <w:r>
        <w:separator/>
      </w:r>
    </w:p>
  </w:endnote>
  <w:endnote w:type="continuationSeparator" w:id="0">
    <w:p w14:paraId="2EF64BA0" w14:textId="77777777" w:rsidR="00000000" w:rsidRDefault="00F6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BA2D" w14:textId="77777777" w:rsidR="00000000" w:rsidRDefault="00F62566">
    <w:pPr>
      <w:pStyle w:val="Footer"/>
      <w:framePr w:wrap="auto" w:vAnchor="text" w:hAnchor="margin" w:xAlign="right" w:y="1"/>
      <w:rPr>
        <w:rStyle w:val="PageNumber"/>
      </w:rPr>
    </w:pPr>
  </w:p>
  <w:p w14:paraId="1F7F3966" w14:textId="77777777" w:rsidR="00000000" w:rsidRDefault="00F62566">
    <w:pPr>
      <w:pStyle w:val="Footer"/>
      <w:spacing w:before="16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033B" w14:textId="77777777" w:rsidR="00000000" w:rsidRDefault="00F62566">
      <w:r>
        <w:separator/>
      </w:r>
    </w:p>
  </w:footnote>
  <w:footnote w:type="continuationSeparator" w:id="0">
    <w:p w14:paraId="61F2B6D7" w14:textId="77777777" w:rsidR="00000000" w:rsidRDefault="00F6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8EFF" w14:textId="77777777" w:rsidR="00000000" w:rsidRDefault="00F62566">
    <w:pPr>
      <w:pStyle w:val="Header"/>
      <w:jc w:val="center"/>
      <w:rPr>
        <w:b/>
        <w:sz w:val="32"/>
      </w:rPr>
    </w:pPr>
    <w:r>
      <w:rPr>
        <w:b/>
        <w:sz w:val="32"/>
      </w:rPr>
      <w:t>LNPA WORKING GROUP</w:t>
    </w:r>
  </w:p>
  <w:p w14:paraId="6FB4940A" w14:textId="77777777" w:rsidR="00000000" w:rsidRDefault="00F62566">
    <w:pPr>
      <w:pStyle w:val="Header"/>
      <w:jc w:val="center"/>
      <w:rPr>
        <w:b/>
        <w:sz w:val="32"/>
      </w:rPr>
    </w:pPr>
    <w:r>
      <w:rPr>
        <w:b/>
        <w:sz w:val="32"/>
      </w:rPr>
      <w:t>June 12 – 13                 Atlanta, Georgia</w:t>
    </w:r>
  </w:p>
  <w:p w14:paraId="7DA047CE" w14:textId="77777777" w:rsidR="00000000" w:rsidRDefault="00F62566">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90"/>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72DD2"/>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55036D"/>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F3C37"/>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F36CD"/>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C6A39"/>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7E5386"/>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DF70DF"/>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D83512"/>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2E0DDB"/>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C31BD"/>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75B9D"/>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9B4274"/>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573B3F"/>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84435B"/>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2607DA"/>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E13453"/>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18073E"/>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A87B0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625167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B4E1024"/>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36088F"/>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7E6762"/>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8D2FC0"/>
    <w:multiLevelType w:val="singleLevel"/>
    <w:tmpl w:val="03D6902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30890"/>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1A7D29"/>
    <w:multiLevelType w:val="singleLevel"/>
    <w:tmpl w:val="0F1C1C40"/>
    <w:lvl w:ilvl="0">
      <w:start w:val="1"/>
      <w:numFmt w:val="bullet"/>
      <w:lvlText w:val=""/>
      <w:lvlJc w:val="left"/>
      <w:pPr>
        <w:tabs>
          <w:tab w:val="num" w:pos="360"/>
        </w:tabs>
        <w:ind w:left="360" w:hanging="360"/>
      </w:pPr>
      <w:rPr>
        <w:rFonts w:ascii="Symbol" w:hAnsi="Symbol" w:hint="default"/>
      </w:rPr>
    </w:lvl>
  </w:abstractNum>
  <w:num w:numId="1" w16cid:durableId="1958412582">
    <w:abstractNumId w:val="24"/>
  </w:num>
  <w:num w:numId="2" w16cid:durableId="437525471">
    <w:abstractNumId w:val="21"/>
  </w:num>
  <w:num w:numId="3" w16cid:durableId="1340621872">
    <w:abstractNumId w:val="10"/>
  </w:num>
  <w:num w:numId="4" w16cid:durableId="504248328">
    <w:abstractNumId w:val="20"/>
  </w:num>
  <w:num w:numId="5" w16cid:durableId="1271278338">
    <w:abstractNumId w:val="7"/>
  </w:num>
  <w:num w:numId="6" w16cid:durableId="1127047616">
    <w:abstractNumId w:val="15"/>
  </w:num>
  <w:num w:numId="7" w16cid:durableId="1246648563">
    <w:abstractNumId w:val="22"/>
  </w:num>
  <w:num w:numId="8" w16cid:durableId="1162965611">
    <w:abstractNumId w:val="25"/>
  </w:num>
  <w:num w:numId="9" w16cid:durableId="33818471">
    <w:abstractNumId w:val="19"/>
  </w:num>
  <w:num w:numId="10" w16cid:durableId="1043601210">
    <w:abstractNumId w:val="8"/>
  </w:num>
  <w:num w:numId="11" w16cid:durableId="1092050139">
    <w:abstractNumId w:val="17"/>
  </w:num>
  <w:num w:numId="12" w16cid:durableId="417796653">
    <w:abstractNumId w:val="3"/>
  </w:num>
  <w:num w:numId="13" w16cid:durableId="1964844214">
    <w:abstractNumId w:val="16"/>
  </w:num>
  <w:num w:numId="14" w16cid:durableId="17050641">
    <w:abstractNumId w:val="6"/>
  </w:num>
  <w:num w:numId="15" w16cid:durableId="896010965">
    <w:abstractNumId w:val="0"/>
  </w:num>
  <w:num w:numId="16" w16cid:durableId="1000546343">
    <w:abstractNumId w:val="13"/>
  </w:num>
  <w:num w:numId="17" w16cid:durableId="1081367861">
    <w:abstractNumId w:val="5"/>
  </w:num>
  <w:num w:numId="18" w16cid:durableId="2088574857">
    <w:abstractNumId w:val="23"/>
  </w:num>
  <w:num w:numId="19" w16cid:durableId="224264965">
    <w:abstractNumId w:val="4"/>
  </w:num>
  <w:num w:numId="20" w16cid:durableId="258173729">
    <w:abstractNumId w:val="11"/>
  </w:num>
  <w:num w:numId="21" w16cid:durableId="274022693">
    <w:abstractNumId w:val="18"/>
  </w:num>
  <w:num w:numId="22" w16cid:durableId="1538346018">
    <w:abstractNumId w:val="2"/>
  </w:num>
  <w:num w:numId="23" w16cid:durableId="1941520307">
    <w:abstractNumId w:val="12"/>
  </w:num>
  <w:num w:numId="24" w16cid:durableId="1710253156">
    <w:abstractNumId w:val="1"/>
  </w:num>
  <w:num w:numId="25" w16cid:durableId="172887296">
    <w:abstractNumId w:val="9"/>
  </w:num>
  <w:num w:numId="26" w16cid:durableId="188344526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66"/>
    <w:rsid w:val="00F6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5E6683"/>
  <w15:chartTrackingRefBased/>
  <w15:docId w15:val="{AB3222AA-2791-4600-8FEE-3721BC6D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Verdana" w:hAnsi="Verdana"/>
      <w:b/>
      <w:i/>
      <w:sz w:val="28"/>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rFonts w:ascii="Verdana" w:hAnsi="Verdana"/>
      <w:b/>
      <w:sz w:val="22"/>
    </w:rPr>
  </w:style>
  <w:style w:type="paragraph" w:styleId="Heading6">
    <w:name w:val="heading 6"/>
    <w:basedOn w:val="Normal"/>
    <w:next w:val="Normal"/>
    <w:qFormat/>
    <w:pPr>
      <w:keepNext/>
      <w:outlineLvl w:val="5"/>
    </w:pPr>
    <w:rPr>
      <w:rFonts w:ascii="Tahoma" w:hAnsi="Tahoma"/>
      <w:b/>
      <w:color w:val="000000"/>
      <w:sz w:val="24"/>
    </w:rPr>
  </w:style>
  <w:style w:type="paragraph" w:styleId="Heading7">
    <w:name w:val="heading 7"/>
    <w:basedOn w:val="Normal"/>
    <w:next w:val="Normal"/>
    <w:qFormat/>
    <w:pPr>
      <w:keepNext/>
      <w:outlineLvl w:val="6"/>
    </w:pPr>
    <w:rPr>
      <w:rFonts w:ascii="Tahoma" w:hAnsi="Tahoma"/>
      <w:b/>
      <w:color w:val="000000"/>
      <w:sz w:val="22"/>
    </w:rPr>
  </w:style>
  <w:style w:type="paragraph" w:styleId="Heading8">
    <w:name w:val="heading 8"/>
    <w:basedOn w:val="Normal"/>
    <w:next w:val="Normal"/>
    <w:qFormat/>
    <w:pPr>
      <w:keepNext/>
      <w:outlineLvl w:val="7"/>
    </w:pPr>
    <w:rPr>
      <w:rFonts w:ascii="Tahoma" w:hAnsi="Tahoma"/>
      <w:b/>
      <w:sz w:val="28"/>
    </w:rPr>
  </w:style>
  <w:style w:type="paragraph" w:styleId="Heading9">
    <w:name w:val="heading 9"/>
    <w:basedOn w:val="Normal"/>
    <w:next w:val="Normal"/>
    <w:qFormat/>
    <w:pPr>
      <w:keepNext/>
      <w:ind w:left="1440"/>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before="160" w:after="80"/>
    </w:pPr>
    <w:rPr>
      <w:color w:val="0000FF"/>
      <w:sz w:val="24"/>
    </w:rPr>
  </w:style>
  <w:style w:type="paragraph" w:styleId="Title">
    <w:name w:val="Title"/>
    <w:basedOn w:val="Normal"/>
    <w:qFormat/>
    <w:pPr>
      <w:jc w:val="center"/>
    </w:pPr>
    <w:rPr>
      <w:rFonts w:ascii="Verdana" w:hAnsi="Verdana"/>
      <w:b/>
      <w:sz w:val="24"/>
    </w:rPr>
  </w:style>
  <w:style w:type="paragraph" w:styleId="List">
    <w:name w:val="List"/>
    <w:basedOn w:val="Normal"/>
    <w:semiHidden/>
    <w:pPr>
      <w:ind w:left="360" w:hanging="360"/>
    </w:pPr>
  </w:style>
  <w:style w:type="paragraph" w:styleId="BodyText">
    <w:name w:val="Body Text"/>
    <w:basedOn w:val="Normal"/>
    <w:semiHidden/>
    <w:pPr>
      <w:spacing w:after="120"/>
    </w:p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ActionItem">
    <w:name w:val="Action Item"/>
    <w:basedOn w:val="Normal"/>
    <w:next w:val="anotes"/>
    <w:pPr>
      <w:spacing w:before="160"/>
    </w:pPr>
    <w:rPr>
      <w:rFonts w:ascii="Comic Sans MS" w:hAnsi="Comic Sans MS"/>
      <w:color w:val="008000"/>
    </w:rPr>
  </w:style>
  <w:style w:type="paragraph" w:customStyle="1" w:styleId="anotes">
    <w:name w:val="a_notes"/>
    <w:basedOn w:val="Normal"/>
    <w:pPr>
      <w:spacing w:before="160"/>
      <w:ind w:left="360"/>
    </w:pPr>
    <w:rPr>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Caption">
    <w:name w:val="caption"/>
    <w:basedOn w:val="Normal"/>
    <w:next w:val="Normal"/>
    <w:qFormat/>
    <w:pPr>
      <w:spacing w:before="160"/>
    </w:pPr>
    <w:rPr>
      <w:rFonts w:ascii="Comic Sans MS" w:hAnsi="Comic Sans MS"/>
      <w:b/>
      <w:color w:val="008000"/>
      <w:sz w:val="24"/>
      <w:u w:val="single"/>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360"/>
    </w:pPr>
  </w:style>
  <w:style w:type="paragraph" w:styleId="BodyTextIndent3">
    <w:name w:val="Body Text Indent 3"/>
    <w:basedOn w:val="Normal"/>
    <w:semiHidden/>
    <w:pPr>
      <w:spacing w:before="160"/>
      <w:ind w:left="360" w:hanging="360"/>
    </w:pPr>
    <w:rPr>
      <w:color w:val="008000"/>
    </w:rPr>
  </w:style>
  <w:style w:type="character" w:styleId="PageNumber">
    <w:name w:val="page number"/>
    <w:basedOn w:val="DefaultParagraphFont"/>
    <w:semiHidden/>
  </w:style>
  <w:style w:type="paragraph" w:customStyle="1" w:styleId="TableText">
    <w:name w:val="Table Text"/>
    <w:basedOn w:val="Normal"/>
    <w:pPr>
      <w:spacing w:before="120" w:after="120"/>
    </w:pPr>
  </w:style>
  <w:style w:type="paragraph" w:styleId="BodyText3">
    <w:name w:val="Body Text 3"/>
    <w:basedOn w:val="Normal"/>
    <w:semiHidden/>
    <w:pPr>
      <w:spacing w:before="160"/>
    </w:pPr>
    <w:rPr>
      <w:color w:val="000000"/>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List2">
    <w:name w:val="List 2"/>
    <w:basedOn w:val="Normal"/>
    <w:semiHidden/>
    <w:pPr>
      <w:ind w:left="720" w:hanging="360"/>
    </w:pPr>
  </w:style>
  <w:style w:type="paragraph" w:styleId="ListBullet2">
    <w:name w:val="List Bullet 2"/>
    <w:basedOn w:val="Normal"/>
    <w:semiHidden/>
    <w:pPr>
      <w:tabs>
        <w:tab w:val="left" w:pos="720"/>
      </w:tabs>
      <w:ind w:left="720" w:hanging="360"/>
    </w:pPr>
  </w:style>
  <w:style w:type="paragraph" w:styleId="ListContinue2">
    <w:name w:val="List Continue 2"/>
    <w:basedOn w:val="Normal"/>
    <w:semiHidden/>
    <w:pPr>
      <w:spacing w:after="120"/>
      <w:ind w:left="720"/>
    </w:p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LNPA Technical &amp; Operational Requirements Task Force</vt:lpstr>
    </vt:vector>
  </TitlesOfParts>
  <Company>SBC</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Technical &amp; Operational Requirements Task Force</dc:title>
  <dc:subject/>
  <dc:creator>Unknown</dc:creator>
  <cp:keywords/>
  <dc:description/>
  <cp:lastModifiedBy>Doherty, Michael</cp:lastModifiedBy>
  <cp:revision>2</cp:revision>
  <cp:lastPrinted>2002-06-03T14:01:00Z</cp:lastPrinted>
  <dcterms:created xsi:type="dcterms:W3CDTF">2023-01-13T13:57:00Z</dcterms:created>
  <dcterms:modified xsi:type="dcterms:W3CDTF">2023-01-13T13:57:00Z</dcterms:modified>
</cp:coreProperties>
</file>