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FC625" w14:textId="77777777" w:rsidR="00070362" w:rsidRDefault="00070362">
      <w:pPr>
        <w:pStyle w:val="Heading1"/>
      </w:pPr>
      <w:r>
        <w:t>Attendance:</w:t>
      </w:r>
    </w:p>
    <w:p w14:paraId="5591541B" w14:textId="77777777" w:rsidR="00070362" w:rsidRDefault="00070362"/>
    <w:tbl>
      <w:tblPr>
        <w:tblW w:w="0" w:type="auto"/>
        <w:tblLayout w:type="fixed"/>
        <w:tblCellMar>
          <w:left w:w="30" w:type="dxa"/>
          <w:right w:w="30" w:type="dxa"/>
        </w:tblCellMar>
        <w:tblLook w:val="0000" w:firstRow="0" w:lastRow="0" w:firstColumn="0" w:lastColumn="0" w:noHBand="0" w:noVBand="0"/>
      </w:tblPr>
      <w:tblGrid>
        <w:gridCol w:w="2114"/>
        <w:gridCol w:w="2871"/>
        <w:gridCol w:w="2177"/>
        <w:gridCol w:w="2588"/>
      </w:tblGrid>
      <w:tr w:rsidR="00070362" w14:paraId="4D63CEA2" w14:textId="77777777">
        <w:trPr>
          <w:trHeight w:val="305"/>
        </w:trPr>
        <w:tc>
          <w:tcPr>
            <w:tcW w:w="2114" w:type="dxa"/>
            <w:tcBorders>
              <w:top w:val="single" w:sz="12" w:space="0" w:color="auto"/>
            </w:tcBorders>
            <w:shd w:val="solid" w:color="00FFFF" w:fill="auto"/>
          </w:tcPr>
          <w:p w14:paraId="43546168" w14:textId="77777777" w:rsidR="00070362" w:rsidRDefault="00070362">
            <w:pPr>
              <w:rPr>
                <w:b/>
                <w:color w:val="000000"/>
                <w:sz w:val="18"/>
              </w:rPr>
            </w:pPr>
            <w:r>
              <w:rPr>
                <w:b/>
                <w:color w:val="000000"/>
                <w:sz w:val="18"/>
              </w:rPr>
              <w:t>Name</w:t>
            </w:r>
          </w:p>
        </w:tc>
        <w:tc>
          <w:tcPr>
            <w:tcW w:w="2871" w:type="dxa"/>
            <w:tcBorders>
              <w:top w:val="single" w:sz="12" w:space="0" w:color="auto"/>
            </w:tcBorders>
            <w:shd w:val="solid" w:color="00FFFF" w:fill="auto"/>
          </w:tcPr>
          <w:p w14:paraId="1729A535" w14:textId="77777777" w:rsidR="00070362" w:rsidRDefault="00070362">
            <w:pPr>
              <w:rPr>
                <w:b/>
                <w:color w:val="000000"/>
                <w:sz w:val="18"/>
              </w:rPr>
            </w:pPr>
            <w:r>
              <w:rPr>
                <w:b/>
                <w:color w:val="000000"/>
                <w:sz w:val="18"/>
              </w:rPr>
              <w:t>Company</w:t>
            </w:r>
          </w:p>
        </w:tc>
        <w:tc>
          <w:tcPr>
            <w:tcW w:w="2177" w:type="dxa"/>
            <w:tcBorders>
              <w:top w:val="single" w:sz="12" w:space="0" w:color="auto"/>
            </w:tcBorders>
            <w:shd w:val="solid" w:color="00FFFF" w:fill="auto"/>
          </w:tcPr>
          <w:p w14:paraId="33B38E3D" w14:textId="77777777" w:rsidR="00070362" w:rsidRDefault="00070362">
            <w:pPr>
              <w:rPr>
                <w:b/>
                <w:color w:val="000000"/>
                <w:sz w:val="18"/>
              </w:rPr>
            </w:pPr>
            <w:r>
              <w:rPr>
                <w:b/>
                <w:color w:val="000000"/>
                <w:sz w:val="18"/>
              </w:rPr>
              <w:t>Name</w:t>
            </w:r>
          </w:p>
        </w:tc>
        <w:tc>
          <w:tcPr>
            <w:tcW w:w="2588" w:type="dxa"/>
            <w:tcBorders>
              <w:top w:val="single" w:sz="12" w:space="0" w:color="auto"/>
            </w:tcBorders>
            <w:shd w:val="solid" w:color="00FFFF" w:fill="auto"/>
          </w:tcPr>
          <w:p w14:paraId="0A64858B" w14:textId="77777777" w:rsidR="00070362" w:rsidRDefault="00070362">
            <w:pPr>
              <w:rPr>
                <w:b/>
                <w:color w:val="000000"/>
                <w:sz w:val="18"/>
              </w:rPr>
            </w:pPr>
            <w:r>
              <w:rPr>
                <w:b/>
                <w:color w:val="000000"/>
                <w:sz w:val="18"/>
              </w:rPr>
              <w:t>Company</w:t>
            </w:r>
          </w:p>
        </w:tc>
      </w:tr>
      <w:tr w:rsidR="00070362" w14:paraId="01409E71" w14:textId="77777777">
        <w:trPr>
          <w:trHeight w:val="300"/>
        </w:trPr>
        <w:tc>
          <w:tcPr>
            <w:tcW w:w="2114" w:type="dxa"/>
            <w:tcBorders>
              <w:top w:val="single" w:sz="12" w:space="0" w:color="auto"/>
              <w:bottom w:val="single" w:sz="2" w:space="0" w:color="auto"/>
            </w:tcBorders>
          </w:tcPr>
          <w:p w14:paraId="08FAEBFB" w14:textId="77777777" w:rsidR="00070362" w:rsidRDefault="00070362">
            <w:pPr>
              <w:rPr>
                <w:sz w:val="18"/>
              </w:rPr>
            </w:pPr>
            <w:r>
              <w:rPr>
                <w:sz w:val="18"/>
              </w:rPr>
              <w:t>Jim Grasser</w:t>
            </w:r>
          </w:p>
        </w:tc>
        <w:tc>
          <w:tcPr>
            <w:tcW w:w="2871" w:type="dxa"/>
            <w:tcBorders>
              <w:top w:val="single" w:sz="12" w:space="0" w:color="auto"/>
              <w:bottom w:val="single" w:sz="2" w:space="0" w:color="auto"/>
            </w:tcBorders>
          </w:tcPr>
          <w:p w14:paraId="1D3BA878" w14:textId="77777777" w:rsidR="00070362" w:rsidRDefault="00070362">
            <w:pPr>
              <w:rPr>
                <w:sz w:val="18"/>
              </w:rPr>
            </w:pPr>
            <w:r>
              <w:rPr>
                <w:sz w:val="18"/>
              </w:rPr>
              <w:t>Cingular Wireless</w:t>
            </w:r>
          </w:p>
        </w:tc>
        <w:tc>
          <w:tcPr>
            <w:tcW w:w="2177" w:type="dxa"/>
            <w:tcBorders>
              <w:top w:val="single" w:sz="12" w:space="0" w:color="auto"/>
              <w:bottom w:val="single" w:sz="2" w:space="0" w:color="auto"/>
            </w:tcBorders>
          </w:tcPr>
          <w:p w14:paraId="14BAC47C" w14:textId="77777777" w:rsidR="00070362" w:rsidRDefault="00070362">
            <w:pPr>
              <w:rPr>
                <w:sz w:val="18"/>
              </w:rPr>
            </w:pPr>
            <w:r>
              <w:rPr>
                <w:sz w:val="18"/>
              </w:rPr>
              <w:t>Brigitte Brown</w:t>
            </w:r>
          </w:p>
        </w:tc>
        <w:tc>
          <w:tcPr>
            <w:tcW w:w="2588" w:type="dxa"/>
            <w:tcBorders>
              <w:top w:val="single" w:sz="12" w:space="0" w:color="auto"/>
              <w:bottom w:val="single" w:sz="2" w:space="0" w:color="auto"/>
            </w:tcBorders>
          </w:tcPr>
          <w:p w14:paraId="5C10880F" w14:textId="77777777" w:rsidR="00070362" w:rsidRDefault="00070362">
            <w:pPr>
              <w:rPr>
                <w:sz w:val="18"/>
              </w:rPr>
            </w:pPr>
            <w:proofErr w:type="spellStart"/>
            <w:r>
              <w:rPr>
                <w:sz w:val="18"/>
              </w:rPr>
              <w:t>TeleCorp</w:t>
            </w:r>
            <w:proofErr w:type="spellEnd"/>
            <w:r>
              <w:rPr>
                <w:sz w:val="18"/>
              </w:rPr>
              <w:t xml:space="preserve"> PCS</w:t>
            </w:r>
          </w:p>
        </w:tc>
      </w:tr>
      <w:tr w:rsidR="00070362" w14:paraId="31EF9745" w14:textId="77777777">
        <w:trPr>
          <w:trHeight w:val="300"/>
        </w:trPr>
        <w:tc>
          <w:tcPr>
            <w:tcW w:w="2114" w:type="dxa"/>
            <w:tcBorders>
              <w:top w:val="single" w:sz="2" w:space="0" w:color="auto"/>
              <w:bottom w:val="single" w:sz="2" w:space="0" w:color="auto"/>
            </w:tcBorders>
          </w:tcPr>
          <w:p w14:paraId="270AF340" w14:textId="77777777" w:rsidR="00070362" w:rsidRDefault="00070362">
            <w:pPr>
              <w:rPr>
                <w:sz w:val="18"/>
              </w:rPr>
            </w:pPr>
            <w:r>
              <w:rPr>
                <w:sz w:val="18"/>
              </w:rPr>
              <w:t>Anne Cummins</w:t>
            </w:r>
          </w:p>
        </w:tc>
        <w:tc>
          <w:tcPr>
            <w:tcW w:w="2871" w:type="dxa"/>
            <w:tcBorders>
              <w:top w:val="single" w:sz="2" w:space="0" w:color="auto"/>
              <w:bottom w:val="single" w:sz="2" w:space="0" w:color="auto"/>
            </w:tcBorders>
          </w:tcPr>
          <w:p w14:paraId="6A229971" w14:textId="77777777" w:rsidR="00070362" w:rsidRDefault="00070362">
            <w:pPr>
              <w:rPr>
                <w:sz w:val="18"/>
              </w:rPr>
            </w:pPr>
            <w:r>
              <w:rPr>
                <w:sz w:val="18"/>
              </w:rPr>
              <w:t>AT&amp;T Wireless</w:t>
            </w:r>
          </w:p>
        </w:tc>
        <w:tc>
          <w:tcPr>
            <w:tcW w:w="2177" w:type="dxa"/>
            <w:tcBorders>
              <w:top w:val="single" w:sz="2" w:space="0" w:color="auto"/>
              <w:bottom w:val="single" w:sz="2" w:space="0" w:color="auto"/>
            </w:tcBorders>
          </w:tcPr>
          <w:p w14:paraId="4C657C6C" w14:textId="77777777" w:rsidR="00070362" w:rsidRDefault="00070362">
            <w:pPr>
              <w:rPr>
                <w:sz w:val="18"/>
              </w:rPr>
            </w:pPr>
            <w:r>
              <w:rPr>
                <w:sz w:val="18"/>
              </w:rPr>
              <w:t>Gary Sacra</w:t>
            </w:r>
          </w:p>
        </w:tc>
        <w:tc>
          <w:tcPr>
            <w:tcW w:w="2588" w:type="dxa"/>
            <w:tcBorders>
              <w:top w:val="single" w:sz="2" w:space="0" w:color="auto"/>
              <w:bottom w:val="single" w:sz="2" w:space="0" w:color="auto"/>
            </w:tcBorders>
          </w:tcPr>
          <w:p w14:paraId="6C6320D6" w14:textId="77777777" w:rsidR="00070362" w:rsidRDefault="00070362">
            <w:pPr>
              <w:rPr>
                <w:sz w:val="18"/>
              </w:rPr>
            </w:pPr>
            <w:r>
              <w:rPr>
                <w:sz w:val="18"/>
              </w:rPr>
              <w:t>Verizon</w:t>
            </w:r>
          </w:p>
        </w:tc>
      </w:tr>
      <w:tr w:rsidR="00070362" w14:paraId="5BD936B8" w14:textId="77777777">
        <w:trPr>
          <w:trHeight w:val="300"/>
        </w:trPr>
        <w:tc>
          <w:tcPr>
            <w:tcW w:w="2114" w:type="dxa"/>
            <w:tcBorders>
              <w:top w:val="single" w:sz="2" w:space="0" w:color="auto"/>
              <w:bottom w:val="single" w:sz="2" w:space="0" w:color="auto"/>
            </w:tcBorders>
          </w:tcPr>
          <w:p w14:paraId="4F8B10B3" w14:textId="77777777" w:rsidR="00070362" w:rsidRDefault="00070362">
            <w:pPr>
              <w:rPr>
                <w:sz w:val="18"/>
              </w:rPr>
            </w:pPr>
            <w:r>
              <w:rPr>
                <w:sz w:val="18"/>
              </w:rPr>
              <w:t>Scotty Parish</w:t>
            </w:r>
          </w:p>
        </w:tc>
        <w:tc>
          <w:tcPr>
            <w:tcW w:w="2871" w:type="dxa"/>
            <w:tcBorders>
              <w:top w:val="single" w:sz="2" w:space="0" w:color="auto"/>
              <w:bottom w:val="single" w:sz="2" w:space="0" w:color="auto"/>
            </w:tcBorders>
          </w:tcPr>
          <w:p w14:paraId="250C8CAE" w14:textId="77777777" w:rsidR="00070362" w:rsidRDefault="00070362">
            <w:pPr>
              <w:rPr>
                <w:sz w:val="18"/>
              </w:rPr>
            </w:pPr>
            <w:proofErr w:type="spellStart"/>
            <w:r>
              <w:rPr>
                <w:sz w:val="18"/>
              </w:rPr>
              <w:t>AllTel</w:t>
            </w:r>
            <w:proofErr w:type="spellEnd"/>
          </w:p>
        </w:tc>
        <w:tc>
          <w:tcPr>
            <w:tcW w:w="2177" w:type="dxa"/>
            <w:tcBorders>
              <w:top w:val="single" w:sz="2" w:space="0" w:color="auto"/>
              <w:bottom w:val="single" w:sz="2" w:space="0" w:color="auto"/>
            </w:tcBorders>
          </w:tcPr>
          <w:p w14:paraId="6D7DA708" w14:textId="77777777" w:rsidR="00070362" w:rsidRDefault="00070362">
            <w:pPr>
              <w:rPr>
                <w:sz w:val="18"/>
              </w:rPr>
            </w:pPr>
            <w:r>
              <w:rPr>
                <w:sz w:val="18"/>
              </w:rPr>
              <w:t xml:space="preserve">Kathleen </w:t>
            </w:r>
            <w:proofErr w:type="spellStart"/>
            <w:r>
              <w:rPr>
                <w:sz w:val="18"/>
              </w:rPr>
              <w:t>Tedrick</w:t>
            </w:r>
            <w:proofErr w:type="spellEnd"/>
          </w:p>
        </w:tc>
        <w:tc>
          <w:tcPr>
            <w:tcW w:w="2588" w:type="dxa"/>
            <w:tcBorders>
              <w:top w:val="single" w:sz="2" w:space="0" w:color="auto"/>
              <w:bottom w:val="single" w:sz="2" w:space="0" w:color="auto"/>
            </w:tcBorders>
          </w:tcPr>
          <w:p w14:paraId="087DC41D" w14:textId="77777777" w:rsidR="00070362" w:rsidRDefault="00070362">
            <w:pPr>
              <w:rPr>
                <w:sz w:val="18"/>
              </w:rPr>
            </w:pPr>
            <w:r>
              <w:rPr>
                <w:sz w:val="18"/>
              </w:rPr>
              <w:t>Sprint</w:t>
            </w:r>
          </w:p>
        </w:tc>
      </w:tr>
      <w:tr w:rsidR="00070362" w14:paraId="24000363" w14:textId="77777777">
        <w:trPr>
          <w:trHeight w:val="300"/>
        </w:trPr>
        <w:tc>
          <w:tcPr>
            <w:tcW w:w="2114" w:type="dxa"/>
            <w:tcBorders>
              <w:top w:val="single" w:sz="2" w:space="0" w:color="auto"/>
              <w:bottom w:val="single" w:sz="2" w:space="0" w:color="auto"/>
            </w:tcBorders>
          </w:tcPr>
          <w:p w14:paraId="371514CD" w14:textId="77777777" w:rsidR="00070362" w:rsidRDefault="00070362">
            <w:pPr>
              <w:rPr>
                <w:sz w:val="18"/>
              </w:rPr>
            </w:pPr>
            <w:r>
              <w:rPr>
                <w:sz w:val="18"/>
              </w:rPr>
              <w:t>Marcel Champagne</w:t>
            </w:r>
          </w:p>
        </w:tc>
        <w:tc>
          <w:tcPr>
            <w:tcW w:w="2871" w:type="dxa"/>
            <w:tcBorders>
              <w:top w:val="single" w:sz="2" w:space="0" w:color="auto"/>
              <w:bottom w:val="single" w:sz="2" w:space="0" w:color="auto"/>
            </w:tcBorders>
          </w:tcPr>
          <w:p w14:paraId="3ECBBBCA" w14:textId="77777777" w:rsidR="00070362" w:rsidRDefault="00070362">
            <w:pPr>
              <w:rPr>
                <w:sz w:val="18"/>
              </w:rPr>
            </w:pPr>
            <w:proofErr w:type="spellStart"/>
            <w:r>
              <w:rPr>
                <w:sz w:val="18"/>
              </w:rPr>
              <w:t>NeuStar</w:t>
            </w:r>
            <w:proofErr w:type="spellEnd"/>
          </w:p>
        </w:tc>
        <w:tc>
          <w:tcPr>
            <w:tcW w:w="2177" w:type="dxa"/>
            <w:tcBorders>
              <w:top w:val="single" w:sz="2" w:space="0" w:color="auto"/>
              <w:bottom w:val="single" w:sz="2" w:space="0" w:color="auto"/>
            </w:tcBorders>
          </w:tcPr>
          <w:p w14:paraId="28EFFA84" w14:textId="77777777" w:rsidR="00070362" w:rsidRDefault="00070362">
            <w:pPr>
              <w:rPr>
                <w:sz w:val="18"/>
              </w:rPr>
            </w:pPr>
            <w:r>
              <w:rPr>
                <w:sz w:val="18"/>
              </w:rPr>
              <w:t>Rosemary Emmer</w:t>
            </w:r>
          </w:p>
        </w:tc>
        <w:tc>
          <w:tcPr>
            <w:tcW w:w="2588" w:type="dxa"/>
            <w:tcBorders>
              <w:top w:val="single" w:sz="2" w:space="0" w:color="auto"/>
              <w:bottom w:val="single" w:sz="2" w:space="0" w:color="auto"/>
            </w:tcBorders>
          </w:tcPr>
          <w:p w14:paraId="196A7465" w14:textId="77777777" w:rsidR="00070362" w:rsidRDefault="00070362">
            <w:pPr>
              <w:rPr>
                <w:sz w:val="18"/>
              </w:rPr>
            </w:pPr>
            <w:r>
              <w:rPr>
                <w:sz w:val="18"/>
              </w:rPr>
              <w:t>Nextel</w:t>
            </w:r>
          </w:p>
        </w:tc>
      </w:tr>
      <w:tr w:rsidR="00070362" w14:paraId="6A6A484E" w14:textId="77777777">
        <w:trPr>
          <w:trHeight w:val="300"/>
        </w:trPr>
        <w:tc>
          <w:tcPr>
            <w:tcW w:w="2114" w:type="dxa"/>
            <w:tcBorders>
              <w:top w:val="single" w:sz="2" w:space="0" w:color="auto"/>
              <w:bottom w:val="single" w:sz="2" w:space="0" w:color="auto"/>
            </w:tcBorders>
          </w:tcPr>
          <w:p w14:paraId="2F8EA563" w14:textId="77777777" w:rsidR="00070362" w:rsidRDefault="00070362">
            <w:pPr>
              <w:rPr>
                <w:sz w:val="18"/>
              </w:rPr>
            </w:pPr>
            <w:r>
              <w:rPr>
                <w:sz w:val="18"/>
              </w:rPr>
              <w:t>Ron Steen</w:t>
            </w:r>
          </w:p>
        </w:tc>
        <w:tc>
          <w:tcPr>
            <w:tcW w:w="2871" w:type="dxa"/>
            <w:tcBorders>
              <w:top w:val="single" w:sz="2" w:space="0" w:color="auto"/>
              <w:bottom w:val="single" w:sz="2" w:space="0" w:color="auto"/>
            </w:tcBorders>
          </w:tcPr>
          <w:p w14:paraId="0E6B9831" w14:textId="77777777" w:rsidR="00070362" w:rsidRDefault="00070362">
            <w:pPr>
              <w:rPr>
                <w:sz w:val="18"/>
              </w:rPr>
            </w:pPr>
            <w:r>
              <w:rPr>
                <w:sz w:val="18"/>
              </w:rPr>
              <w:t>Bell South</w:t>
            </w:r>
          </w:p>
        </w:tc>
        <w:tc>
          <w:tcPr>
            <w:tcW w:w="2177" w:type="dxa"/>
            <w:tcBorders>
              <w:top w:val="single" w:sz="2" w:space="0" w:color="auto"/>
              <w:bottom w:val="single" w:sz="2" w:space="0" w:color="auto"/>
            </w:tcBorders>
          </w:tcPr>
          <w:p w14:paraId="50BA3F61" w14:textId="77777777" w:rsidR="00070362" w:rsidRDefault="00070362">
            <w:pPr>
              <w:rPr>
                <w:sz w:val="18"/>
              </w:rPr>
            </w:pPr>
            <w:r>
              <w:rPr>
                <w:sz w:val="18"/>
              </w:rPr>
              <w:t xml:space="preserve">Ron </w:t>
            </w:r>
            <w:proofErr w:type="spellStart"/>
            <w:r>
              <w:rPr>
                <w:sz w:val="18"/>
              </w:rPr>
              <w:t>Stutheit</w:t>
            </w:r>
            <w:proofErr w:type="spellEnd"/>
          </w:p>
        </w:tc>
        <w:tc>
          <w:tcPr>
            <w:tcW w:w="2588" w:type="dxa"/>
            <w:tcBorders>
              <w:top w:val="single" w:sz="2" w:space="0" w:color="auto"/>
              <w:bottom w:val="single" w:sz="2" w:space="0" w:color="auto"/>
            </w:tcBorders>
          </w:tcPr>
          <w:p w14:paraId="141E5331" w14:textId="77777777" w:rsidR="00070362" w:rsidRDefault="00070362">
            <w:pPr>
              <w:rPr>
                <w:sz w:val="18"/>
              </w:rPr>
            </w:pPr>
            <w:r>
              <w:rPr>
                <w:sz w:val="18"/>
              </w:rPr>
              <w:t>Evolving Systems</w:t>
            </w:r>
          </w:p>
        </w:tc>
      </w:tr>
      <w:tr w:rsidR="00070362" w14:paraId="374B7B4E" w14:textId="77777777">
        <w:trPr>
          <w:trHeight w:val="300"/>
        </w:trPr>
        <w:tc>
          <w:tcPr>
            <w:tcW w:w="2114" w:type="dxa"/>
            <w:tcBorders>
              <w:top w:val="single" w:sz="2" w:space="0" w:color="auto"/>
              <w:bottom w:val="single" w:sz="2" w:space="0" w:color="auto"/>
            </w:tcBorders>
          </w:tcPr>
          <w:p w14:paraId="0A64B972" w14:textId="77777777" w:rsidR="00070362" w:rsidRDefault="00070362">
            <w:pPr>
              <w:rPr>
                <w:sz w:val="18"/>
              </w:rPr>
            </w:pPr>
            <w:r>
              <w:rPr>
                <w:sz w:val="18"/>
              </w:rPr>
              <w:t>Jean Anthony</w:t>
            </w:r>
          </w:p>
        </w:tc>
        <w:tc>
          <w:tcPr>
            <w:tcW w:w="2871" w:type="dxa"/>
            <w:tcBorders>
              <w:top w:val="single" w:sz="2" w:space="0" w:color="auto"/>
              <w:bottom w:val="single" w:sz="2" w:space="0" w:color="auto"/>
            </w:tcBorders>
          </w:tcPr>
          <w:p w14:paraId="552B0D79" w14:textId="77777777" w:rsidR="00070362" w:rsidRDefault="00070362">
            <w:pPr>
              <w:rPr>
                <w:sz w:val="18"/>
              </w:rPr>
            </w:pPr>
            <w:r>
              <w:rPr>
                <w:sz w:val="18"/>
              </w:rPr>
              <w:t>Telecom Software</w:t>
            </w:r>
          </w:p>
        </w:tc>
        <w:tc>
          <w:tcPr>
            <w:tcW w:w="2177" w:type="dxa"/>
            <w:tcBorders>
              <w:top w:val="single" w:sz="2" w:space="0" w:color="auto"/>
              <w:bottom w:val="single" w:sz="2" w:space="0" w:color="auto"/>
            </w:tcBorders>
          </w:tcPr>
          <w:p w14:paraId="6FB0CA99" w14:textId="77777777" w:rsidR="00070362" w:rsidRDefault="00070362">
            <w:pPr>
              <w:rPr>
                <w:sz w:val="18"/>
              </w:rPr>
            </w:pPr>
            <w:r>
              <w:rPr>
                <w:sz w:val="18"/>
              </w:rPr>
              <w:t>Jeff Adrian</w:t>
            </w:r>
          </w:p>
        </w:tc>
        <w:tc>
          <w:tcPr>
            <w:tcW w:w="2588" w:type="dxa"/>
            <w:tcBorders>
              <w:top w:val="single" w:sz="2" w:space="0" w:color="auto"/>
              <w:bottom w:val="single" w:sz="2" w:space="0" w:color="auto"/>
            </w:tcBorders>
          </w:tcPr>
          <w:p w14:paraId="6C594225" w14:textId="77777777" w:rsidR="00070362" w:rsidRDefault="00070362">
            <w:pPr>
              <w:rPr>
                <w:sz w:val="18"/>
              </w:rPr>
            </w:pPr>
            <w:r>
              <w:rPr>
                <w:sz w:val="18"/>
              </w:rPr>
              <w:t>Sprint PCS</w:t>
            </w:r>
          </w:p>
        </w:tc>
      </w:tr>
      <w:tr w:rsidR="00070362" w14:paraId="3F1580FC" w14:textId="77777777">
        <w:trPr>
          <w:trHeight w:val="300"/>
        </w:trPr>
        <w:tc>
          <w:tcPr>
            <w:tcW w:w="2114" w:type="dxa"/>
            <w:tcBorders>
              <w:top w:val="single" w:sz="2" w:space="0" w:color="auto"/>
              <w:bottom w:val="single" w:sz="2" w:space="0" w:color="auto"/>
            </w:tcBorders>
          </w:tcPr>
          <w:p w14:paraId="65C62E88" w14:textId="77777777" w:rsidR="00070362" w:rsidRDefault="00070362">
            <w:pPr>
              <w:rPr>
                <w:sz w:val="18"/>
              </w:rPr>
            </w:pPr>
            <w:r>
              <w:rPr>
                <w:sz w:val="18"/>
              </w:rPr>
              <w:t>H.L. Gowda</w:t>
            </w:r>
          </w:p>
        </w:tc>
        <w:tc>
          <w:tcPr>
            <w:tcW w:w="2871" w:type="dxa"/>
            <w:tcBorders>
              <w:top w:val="single" w:sz="2" w:space="0" w:color="auto"/>
              <w:bottom w:val="single" w:sz="2" w:space="0" w:color="auto"/>
            </w:tcBorders>
          </w:tcPr>
          <w:p w14:paraId="7EF41761" w14:textId="77777777" w:rsidR="00070362" w:rsidRDefault="00070362">
            <w:pPr>
              <w:rPr>
                <w:sz w:val="18"/>
              </w:rPr>
            </w:pPr>
            <w:r>
              <w:rPr>
                <w:sz w:val="18"/>
              </w:rPr>
              <w:t>AT&amp;T</w:t>
            </w:r>
          </w:p>
        </w:tc>
        <w:tc>
          <w:tcPr>
            <w:tcW w:w="2177" w:type="dxa"/>
            <w:tcBorders>
              <w:top w:val="single" w:sz="2" w:space="0" w:color="auto"/>
              <w:bottom w:val="single" w:sz="2" w:space="0" w:color="auto"/>
            </w:tcBorders>
          </w:tcPr>
          <w:p w14:paraId="7531EDBB" w14:textId="77777777" w:rsidR="00070362" w:rsidRDefault="00070362">
            <w:pPr>
              <w:rPr>
                <w:sz w:val="18"/>
              </w:rPr>
            </w:pPr>
            <w:r>
              <w:rPr>
                <w:sz w:val="18"/>
              </w:rPr>
              <w:t>Patricia Smith</w:t>
            </w:r>
          </w:p>
        </w:tc>
        <w:tc>
          <w:tcPr>
            <w:tcW w:w="2588" w:type="dxa"/>
            <w:tcBorders>
              <w:top w:val="single" w:sz="2" w:space="0" w:color="auto"/>
              <w:bottom w:val="single" w:sz="2" w:space="0" w:color="auto"/>
            </w:tcBorders>
          </w:tcPr>
          <w:p w14:paraId="177A04C4" w14:textId="77777777" w:rsidR="00070362" w:rsidRDefault="00070362">
            <w:pPr>
              <w:rPr>
                <w:sz w:val="18"/>
              </w:rPr>
            </w:pPr>
            <w:proofErr w:type="spellStart"/>
            <w:r>
              <w:rPr>
                <w:sz w:val="18"/>
              </w:rPr>
              <w:t>Voicestream</w:t>
            </w:r>
            <w:proofErr w:type="spellEnd"/>
            <w:r>
              <w:rPr>
                <w:sz w:val="18"/>
              </w:rPr>
              <w:t xml:space="preserve"> Wireless</w:t>
            </w:r>
          </w:p>
        </w:tc>
      </w:tr>
      <w:tr w:rsidR="00070362" w14:paraId="4D198F33" w14:textId="77777777">
        <w:trPr>
          <w:trHeight w:val="300"/>
        </w:trPr>
        <w:tc>
          <w:tcPr>
            <w:tcW w:w="2114" w:type="dxa"/>
            <w:tcBorders>
              <w:top w:val="single" w:sz="2" w:space="0" w:color="auto"/>
              <w:bottom w:val="single" w:sz="2" w:space="0" w:color="auto"/>
            </w:tcBorders>
          </w:tcPr>
          <w:p w14:paraId="37021CB6" w14:textId="77777777" w:rsidR="00070362" w:rsidRDefault="00070362">
            <w:pPr>
              <w:rPr>
                <w:sz w:val="18"/>
              </w:rPr>
            </w:pPr>
            <w:r>
              <w:rPr>
                <w:sz w:val="18"/>
              </w:rPr>
              <w:t>Karen Mulberry</w:t>
            </w:r>
          </w:p>
        </w:tc>
        <w:tc>
          <w:tcPr>
            <w:tcW w:w="2871" w:type="dxa"/>
            <w:tcBorders>
              <w:top w:val="single" w:sz="2" w:space="0" w:color="auto"/>
              <w:bottom w:val="single" w:sz="2" w:space="0" w:color="auto"/>
            </w:tcBorders>
          </w:tcPr>
          <w:p w14:paraId="671451CC" w14:textId="77777777" w:rsidR="00070362" w:rsidRDefault="00070362">
            <w:pPr>
              <w:rPr>
                <w:sz w:val="18"/>
              </w:rPr>
            </w:pPr>
            <w:r>
              <w:rPr>
                <w:sz w:val="18"/>
              </w:rPr>
              <w:t>WorldCom</w:t>
            </w:r>
          </w:p>
        </w:tc>
        <w:tc>
          <w:tcPr>
            <w:tcW w:w="2177" w:type="dxa"/>
            <w:tcBorders>
              <w:top w:val="single" w:sz="2" w:space="0" w:color="auto"/>
              <w:bottom w:val="single" w:sz="2" w:space="0" w:color="auto"/>
            </w:tcBorders>
          </w:tcPr>
          <w:p w14:paraId="1192FD97" w14:textId="77777777" w:rsidR="00070362" w:rsidRDefault="00070362">
            <w:pPr>
              <w:rPr>
                <w:sz w:val="18"/>
              </w:rPr>
            </w:pPr>
            <w:r>
              <w:rPr>
                <w:sz w:val="18"/>
              </w:rPr>
              <w:t>Chris Duckett-Brown</w:t>
            </w:r>
          </w:p>
        </w:tc>
        <w:tc>
          <w:tcPr>
            <w:tcW w:w="2588" w:type="dxa"/>
            <w:tcBorders>
              <w:top w:val="single" w:sz="2" w:space="0" w:color="auto"/>
              <w:bottom w:val="single" w:sz="2" w:space="0" w:color="auto"/>
            </w:tcBorders>
          </w:tcPr>
          <w:p w14:paraId="4F1754B5" w14:textId="77777777" w:rsidR="00070362" w:rsidRDefault="00070362">
            <w:pPr>
              <w:rPr>
                <w:sz w:val="18"/>
              </w:rPr>
            </w:pPr>
            <w:r>
              <w:rPr>
                <w:sz w:val="18"/>
              </w:rPr>
              <w:t>Verizon Wireless</w:t>
            </w:r>
          </w:p>
        </w:tc>
      </w:tr>
      <w:tr w:rsidR="00070362" w14:paraId="616045E3" w14:textId="77777777">
        <w:trPr>
          <w:trHeight w:val="300"/>
        </w:trPr>
        <w:tc>
          <w:tcPr>
            <w:tcW w:w="2114" w:type="dxa"/>
            <w:tcBorders>
              <w:top w:val="single" w:sz="2" w:space="0" w:color="auto"/>
              <w:bottom w:val="single" w:sz="2" w:space="0" w:color="auto"/>
            </w:tcBorders>
          </w:tcPr>
          <w:p w14:paraId="6897837F" w14:textId="77777777" w:rsidR="00070362" w:rsidRDefault="00070362">
            <w:pPr>
              <w:rPr>
                <w:sz w:val="18"/>
              </w:rPr>
            </w:pPr>
            <w:r>
              <w:rPr>
                <w:sz w:val="18"/>
              </w:rPr>
              <w:t>Maggie Lee</w:t>
            </w:r>
          </w:p>
        </w:tc>
        <w:tc>
          <w:tcPr>
            <w:tcW w:w="2871" w:type="dxa"/>
            <w:tcBorders>
              <w:top w:val="single" w:sz="2" w:space="0" w:color="auto"/>
              <w:bottom w:val="single" w:sz="2" w:space="0" w:color="auto"/>
            </w:tcBorders>
          </w:tcPr>
          <w:p w14:paraId="179C9587" w14:textId="77777777" w:rsidR="00070362" w:rsidRDefault="00070362">
            <w:pPr>
              <w:rPr>
                <w:sz w:val="18"/>
              </w:rPr>
            </w:pPr>
            <w:proofErr w:type="spellStart"/>
            <w:r>
              <w:rPr>
                <w:sz w:val="18"/>
              </w:rPr>
              <w:t>Illuminet</w:t>
            </w:r>
            <w:proofErr w:type="spellEnd"/>
          </w:p>
        </w:tc>
        <w:tc>
          <w:tcPr>
            <w:tcW w:w="2177" w:type="dxa"/>
            <w:tcBorders>
              <w:top w:val="single" w:sz="2" w:space="0" w:color="auto"/>
              <w:bottom w:val="single" w:sz="2" w:space="0" w:color="auto"/>
            </w:tcBorders>
          </w:tcPr>
          <w:p w14:paraId="6D210F37" w14:textId="77777777" w:rsidR="00070362" w:rsidRDefault="00070362">
            <w:pPr>
              <w:rPr>
                <w:sz w:val="18"/>
              </w:rPr>
            </w:pPr>
            <w:r>
              <w:rPr>
                <w:sz w:val="18"/>
              </w:rPr>
              <w:t xml:space="preserve">Stephen </w:t>
            </w:r>
            <w:proofErr w:type="spellStart"/>
            <w:r>
              <w:rPr>
                <w:sz w:val="18"/>
              </w:rPr>
              <w:t>Addicks</w:t>
            </w:r>
            <w:proofErr w:type="spellEnd"/>
          </w:p>
        </w:tc>
        <w:tc>
          <w:tcPr>
            <w:tcW w:w="2588" w:type="dxa"/>
            <w:tcBorders>
              <w:top w:val="single" w:sz="2" w:space="0" w:color="auto"/>
              <w:bottom w:val="single" w:sz="2" w:space="0" w:color="auto"/>
            </w:tcBorders>
          </w:tcPr>
          <w:p w14:paraId="2851B382" w14:textId="77777777" w:rsidR="00070362" w:rsidRDefault="00070362">
            <w:pPr>
              <w:rPr>
                <w:sz w:val="18"/>
              </w:rPr>
            </w:pPr>
            <w:r>
              <w:rPr>
                <w:sz w:val="18"/>
              </w:rPr>
              <w:t>WorldCom</w:t>
            </w:r>
          </w:p>
        </w:tc>
      </w:tr>
      <w:tr w:rsidR="00070362" w14:paraId="757E506F" w14:textId="77777777">
        <w:trPr>
          <w:trHeight w:val="300"/>
        </w:trPr>
        <w:tc>
          <w:tcPr>
            <w:tcW w:w="2114" w:type="dxa"/>
            <w:tcBorders>
              <w:top w:val="single" w:sz="2" w:space="0" w:color="auto"/>
              <w:bottom w:val="single" w:sz="2" w:space="0" w:color="auto"/>
            </w:tcBorders>
          </w:tcPr>
          <w:p w14:paraId="4565F021" w14:textId="77777777" w:rsidR="00070362" w:rsidRDefault="00070362">
            <w:pPr>
              <w:rPr>
                <w:sz w:val="18"/>
              </w:rPr>
            </w:pPr>
            <w:r>
              <w:rPr>
                <w:sz w:val="18"/>
              </w:rPr>
              <w:t>Jason Lee</w:t>
            </w:r>
          </w:p>
        </w:tc>
        <w:tc>
          <w:tcPr>
            <w:tcW w:w="2871" w:type="dxa"/>
            <w:tcBorders>
              <w:top w:val="single" w:sz="2" w:space="0" w:color="auto"/>
              <w:bottom w:val="single" w:sz="2" w:space="0" w:color="auto"/>
            </w:tcBorders>
          </w:tcPr>
          <w:p w14:paraId="72B9F395" w14:textId="77777777" w:rsidR="00070362" w:rsidRDefault="00070362">
            <w:pPr>
              <w:rPr>
                <w:sz w:val="18"/>
              </w:rPr>
            </w:pPr>
            <w:r>
              <w:rPr>
                <w:sz w:val="18"/>
              </w:rPr>
              <w:t>WorldCom</w:t>
            </w:r>
          </w:p>
        </w:tc>
        <w:tc>
          <w:tcPr>
            <w:tcW w:w="2177" w:type="dxa"/>
            <w:tcBorders>
              <w:top w:val="single" w:sz="2" w:space="0" w:color="auto"/>
              <w:bottom w:val="single" w:sz="2" w:space="0" w:color="auto"/>
            </w:tcBorders>
          </w:tcPr>
          <w:p w14:paraId="62C293E9" w14:textId="77777777" w:rsidR="00070362" w:rsidRDefault="00070362">
            <w:pPr>
              <w:rPr>
                <w:sz w:val="18"/>
              </w:rPr>
            </w:pPr>
            <w:r>
              <w:rPr>
                <w:sz w:val="18"/>
              </w:rPr>
              <w:t>Julie Neumann</w:t>
            </w:r>
          </w:p>
        </w:tc>
        <w:tc>
          <w:tcPr>
            <w:tcW w:w="2588" w:type="dxa"/>
            <w:tcBorders>
              <w:top w:val="single" w:sz="2" w:space="0" w:color="auto"/>
              <w:bottom w:val="single" w:sz="2" w:space="0" w:color="auto"/>
            </w:tcBorders>
          </w:tcPr>
          <w:p w14:paraId="5DB14A5A" w14:textId="77777777" w:rsidR="00070362" w:rsidRDefault="00070362">
            <w:pPr>
              <w:rPr>
                <w:sz w:val="18"/>
              </w:rPr>
            </w:pPr>
            <w:r>
              <w:rPr>
                <w:sz w:val="18"/>
              </w:rPr>
              <w:t>AT&amp;T Wireless</w:t>
            </w:r>
          </w:p>
        </w:tc>
      </w:tr>
      <w:tr w:rsidR="00070362" w14:paraId="45929732" w14:textId="77777777">
        <w:trPr>
          <w:trHeight w:val="300"/>
        </w:trPr>
        <w:tc>
          <w:tcPr>
            <w:tcW w:w="2114" w:type="dxa"/>
            <w:tcBorders>
              <w:top w:val="single" w:sz="2" w:space="0" w:color="auto"/>
              <w:bottom w:val="single" w:sz="2" w:space="0" w:color="auto"/>
            </w:tcBorders>
          </w:tcPr>
          <w:p w14:paraId="09E0A831" w14:textId="77777777" w:rsidR="00070362" w:rsidRDefault="00070362">
            <w:pPr>
              <w:rPr>
                <w:sz w:val="18"/>
              </w:rPr>
            </w:pPr>
            <w:r>
              <w:rPr>
                <w:sz w:val="18"/>
              </w:rPr>
              <w:t>Patrick Lockett</w:t>
            </w:r>
          </w:p>
        </w:tc>
        <w:tc>
          <w:tcPr>
            <w:tcW w:w="2871" w:type="dxa"/>
            <w:tcBorders>
              <w:top w:val="single" w:sz="2" w:space="0" w:color="auto"/>
              <w:bottom w:val="single" w:sz="2" w:space="0" w:color="auto"/>
            </w:tcBorders>
          </w:tcPr>
          <w:p w14:paraId="0AA108A4" w14:textId="77777777" w:rsidR="00070362" w:rsidRDefault="00070362">
            <w:pPr>
              <w:rPr>
                <w:sz w:val="18"/>
              </w:rPr>
            </w:pPr>
            <w:r>
              <w:rPr>
                <w:sz w:val="18"/>
              </w:rPr>
              <w:t>Sprint</w:t>
            </w:r>
          </w:p>
        </w:tc>
        <w:tc>
          <w:tcPr>
            <w:tcW w:w="2177" w:type="dxa"/>
            <w:tcBorders>
              <w:top w:val="single" w:sz="2" w:space="0" w:color="auto"/>
              <w:bottom w:val="single" w:sz="2" w:space="0" w:color="auto"/>
            </w:tcBorders>
          </w:tcPr>
          <w:p w14:paraId="5ED52ED4" w14:textId="77777777" w:rsidR="00070362" w:rsidRDefault="00070362">
            <w:pPr>
              <w:rPr>
                <w:sz w:val="18"/>
              </w:rPr>
            </w:pPr>
            <w:r>
              <w:rPr>
                <w:sz w:val="18"/>
              </w:rPr>
              <w:t>Gene Johnston</w:t>
            </w:r>
          </w:p>
        </w:tc>
        <w:tc>
          <w:tcPr>
            <w:tcW w:w="2588" w:type="dxa"/>
            <w:tcBorders>
              <w:top w:val="single" w:sz="2" w:space="0" w:color="auto"/>
              <w:bottom w:val="single" w:sz="2" w:space="0" w:color="auto"/>
            </w:tcBorders>
          </w:tcPr>
          <w:p w14:paraId="33725E26" w14:textId="77777777" w:rsidR="00070362" w:rsidRDefault="00070362">
            <w:pPr>
              <w:rPr>
                <w:sz w:val="18"/>
              </w:rPr>
            </w:pPr>
            <w:proofErr w:type="spellStart"/>
            <w:r>
              <w:rPr>
                <w:sz w:val="18"/>
              </w:rPr>
              <w:t>NeuStar</w:t>
            </w:r>
            <w:proofErr w:type="spellEnd"/>
          </w:p>
        </w:tc>
      </w:tr>
      <w:tr w:rsidR="00070362" w14:paraId="4EC634A8" w14:textId="77777777">
        <w:trPr>
          <w:trHeight w:val="300"/>
        </w:trPr>
        <w:tc>
          <w:tcPr>
            <w:tcW w:w="2114" w:type="dxa"/>
            <w:tcBorders>
              <w:top w:val="single" w:sz="2" w:space="0" w:color="auto"/>
              <w:bottom w:val="single" w:sz="2" w:space="0" w:color="auto"/>
            </w:tcBorders>
          </w:tcPr>
          <w:p w14:paraId="23BF2644" w14:textId="77777777" w:rsidR="00070362" w:rsidRDefault="00070362">
            <w:pPr>
              <w:rPr>
                <w:sz w:val="18"/>
              </w:rPr>
            </w:pPr>
            <w:r>
              <w:rPr>
                <w:sz w:val="18"/>
              </w:rPr>
              <w:t>Tracy Frank</w:t>
            </w:r>
          </w:p>
        </w:tc>
        <w:tc>
          <w:tcPr>
            <w:tcW w:w="2871" w:type="dxa"/>
            <w:tcBorders>
              <w:top w:val="single" w:sz="2" w:space="0" w:color="auto"/>
              <w:bottom w:val="single" w:sz="2" w:space="0" w:color="auto"/>
            </w:tcBorders>
          </w:tcPr>
          <w:p w14:paraId="772BD504" w14:textId="77777777" w:rsidR="00070362" w:rsidRDefault="00070362">
            <w:pPr>
              <w:rPr>
                <w:sz w:val="18"/>
              </w:rPr>
            </w:pPr>
            <w:r>
              <w:rPr>
                <w:sz w:val="18"/>
              </w:rPr>
              <w:t>Business Edge Solutions</w:t>
            </w:r>
          </w:p>
        </w:tc>
        <w:tc>
          <w:tcPr>
            <w:tcW w:w="2177" w:type="dxa"/>
            <w:tcBorders>
              <w:top w:val="single" w:sz="2" w:space="0" w:color="auto"/>
              <w:bottom w:val="single" w:sz="2" w:space="0" w:color="auto"/>
            </w:tcBorders>
          </w:tcPr>
          <w:p w14:paraId="6798043F" w14:textId="77777777" w:rsidR="00070362" w:rsidRDefault="00070362">
            <w:pPr>
              <w:rPr>
                <w:sz w:val="18"/>
              </w:rPr>
            </w:pPr>
            <w:r>
              <w:rPr>
                <w:sz w:val="18"/>
              </w:rPr>
              <w:t xml:space="preserve">Melissa </w:t>
            </w:r>
            <w:proofErr w:type="spellStart"/>
            <w:r>
              <w:rPr>
                <w:sz w:val="18"/>
              </w:rPr>
              <w:t>Flicek</w:t>
            </w:r>
            <w:proofErr w:type="spellEnd"/>
          </w:p>
        </w:tc>
        <w:tc>
          <w:tcPr>
            <w:tcW w:w="2588" w:type="dxa"/>
            <w:tcBorders>
              <w:top w:val="single" w:sz="2" w:space="0" w:color="auto"/>
              <w:bottom w:val="single" w:sz="2" w:space="0" w:color="auto"/>
            </w:tcBorders>
          </w:tcPr>
          <w:p w14:paraId="4DE7C039" w14:textId="77777777" w:rsidR="00070362" w:rsidRDefault="00070362">
            <w:pPr>
              <w:rPr>
                <w:sz w:val="18"/>
              </w:rPr>
            </w:pPr>
            <w:r>
              <w:rPr>
                <w:sz w:val="18"/>
              </w:rPr>
              <w:t>Nextel Partners</w:t>
            </w:r>
          </w:p>
        </w:tc>
      </w:tr>
      <w:tr w:rsidR="00070362" w14:paraId="7EACCB7F" w14:textId="77777777">
        <w:trPr>
          <w:trHeight w:val="300"/>
        </w:trPr>
        <w:tc>
          <w:tcPr>
            <w:tcW w:w="2114" w:type="dxa"/>
            <w:tcBorders>
              <w:top w:val="single" w:sz="2" w:space="0" w:color="auto"/>
              <w:bottom w:val="single" w:sz="2" w:space="0" w:color="auto"/>
            </w:tcBorders>
          </w:tcPr>
          <w:p w14:paraId="24DEE4BA" w14:textId="77777777" w:rsidR="00070362" w:rsidRDefault="00070362">
            <w:pPr>
              <w:rPr>
                <w:sz w:val="18"/>
              </w:rPr>
            </w:pPr>
            <w:r>
              <w:rPr>
                <w:sz w:val="18"/>
              </w:rPr>
              <w:t>Robert Jones</w:t>
            </w:r>
          </w:p>
        </w:tc>
        <w:tc>
          <w:tcPr>
            <w:tcW w:w="2871" w:type="dxa"/>
            <w:tcBorders>
              <w:top w:val="single" w:sz="2" w:space="0" w:color="auto"/>
              <w:bottom w:val="single" w:sz="2" w:space="0" w:color="auto"/>
            </w:tcBorders>
          </w:tcPr>
          <w:p w14:paraId="15F9894B" w14:textId="77777777" w:rsidR="00070362" w:rsidRDefault="00070362">
            <w:pPr>
              <w:rPr>
                <w:sz w:val="18"/>
              </w:rPr>
            </w:pPr>
            <w:r>
              <w:rPr>
                <w:sz w:val="18"/>
              </w:rPr>
              <w:t>U.S. Cellular</w:t>
            </w:r>
          </w:p>
        </w:tc>
        <w:tc>
          <w:tcPr>
            <w:tcW w:w="2177" w:type="dxa"/>
            <w:tcBorders>
              <w:top w:val="single" w:sz="2" w:space="0" w:color="auto"/>
              <w:bottom w:val="single" w:sz="2" w:space="0" w:color="auto"/>
            </w:tcBorders>
          </w:tcPr>
          <w:p w14:paraId="2114ADEE" w14:textId="77777777" w:rsidR="00070362" w:rsidRDefault="00070362">
            <w:pPr>
              <w:rPr>
                <w:sz w:val="18"/>
              </w:rPr>
            </w:pPr>
            <w:r>
              <w:rPr>
                <w:sz w:val="18"/>
              </w:rPr>
              <w:t xml:space="preserve">Colleen </w:t>
            </w:r>
            <w:proofErr w:type="spellStart"/>
            <w:r>
              <w:rPr>
                <w:sz w:val="18"/>
              </w:rPr>
              <w:t>Flury</w:t>
            </w:r>
            <w:proofErr w:type="spellEnd"/>
          </w:p>
        </w:tc>
        <w:tc>
          <w:tcPr>
            <w:tcW w:w="2588" w:type="dxa"/>
            <w:tcBorders>
              <w:top w:val="single" w:sz="2" w:space="0" w:color="auto"/>
              <w:bottom w:val="single" w:sz="2" w:space="0" w:color="auto"/>
            </w:tcBorders>
          </w:tcPr>
          <w:p w14:paraId="31615954" w14:textId="77777777" w:rsidR="00070362" w:rsidRDefault="00070362">
            <w:pPr>
              <w:rPr>
                <w:sz w:val="18"/>
              </w:rPr>
            </w:pPr>
            <w:r>
              <w:rPr>
                <w:sz w:val="18"/>
              </w:rPr>
              <w:t>AT&amp;T Wireless</w:t>
            </w:r>
          </w:p>
        </w:tc>
      </w:tr>
      <w:tr w:rsidR="00070362" w14:paraId="73D8EC93" w14:textId="77777777">
        <w:trPr>
          <w:trHeight w:val="300"/>
        </w:trPr>
        <w:tc>
          <w:tcPr>
            <w:tcW w:w="2114" w:type="dxa"/>
            <w:tcBorders>
              <w:top w:val="single" w:sz="2" w:space="0" w:color="auto"/>
              <w:bottom w:val="single" w:sz="2" w:space="0" w:color="auto"/>
            </w:tcBorders>
          </w:tcPr>
          <w:p w14:paraId="4607BB20" w14:textId="77777777" w:rsidR="00070362" w:rsidRDefault="00070362">
            <w:pPr>
              <w:rPr>
                <w:sz w:val="18"/>
              </w:rPr>
            </w:pPr>
            <w:r>
              <w:rPr>
                <w:sz w:val="18"/>
              </w:rPr>
              <w:t>Denise Thomas</w:t>
            </w:r>
          </w:p>
        </w:tc>
        <w:tc>
          <w:tcPr>
            <w:tcW w:w="2871" w:type="dxa"/>
            <w:tcBorders>
              <w:top w:val="single" w:sz="2" w:space="0" w:color="auto"/>
              <w:bottom w:val="single" w:sz="2" w:space="0" w:color="auto"/>
            </w:tcBorders>
          </w:tcPr>
          <w:p w14:paraId="31A29B5C" w14:textId="77777777" w:rsidR="00070362" w:rsidRDefault="00070362">
            <w:pPr>
              <w:rPr>
                <w:sz w:val="18"/>
              </w:rPr>
            </w:pPr>
            <w:r>
              <w:rPr>
                <w:sz w:val="18"/>
              </w:rPr>
              <w:t>WorldCom</w:t>
            </w:r>
          </w:p>
        </w:tc>
        <w:tc>
          <w:tcPr>
            <w:tcW w:w="2177" w:type="dxa"/>
            <w:tcBorders>
              <w:top w:val="single" w:sz="2" w:space="0" w:color="auto"/>
              <w:bottom w:val="single" w:sz="2" w:space="0" w:color="auto"/>
            </w:tcBorders>
          </w:tcPr>
          <w:p w14:paraId="462EDF01" w14:textId="77777777" w:rsidR="00070362" w:rsidRDefault="00070362">
            <w:pPr>
              <w:rPr>
                <w:sz w:val="18"/>
              </w:rPr>
            </w:pPr>
            <w:r>
              <w:rPr>
                <w:sz w:val="18"/>
              </w:rPr>
              <w:t>Linda Godfrey</w:t>
            </w:r>
          </w:p>
        </w:tc>
        <w:tc>
          <w:tcPr>
            <w:tcW w:w="2588" w:type="dxa"/>
            <w:tcBorders>
              <w:top w:val="single" w:sz="2" w:space="0" w:color="auto"/>
              <w:bottom w:val="single" w:sz="2" w:space="0" w:color="auto"/>
            </w:tcBorders>
          </w:tcPr>
          <w:p w14:paraId="0F2E0740" w14:textId="77777777" w:rsidR="00070362" w:rsidRDefault="00070362">
            <w:pPr>
              <w:rPr>
                <w:sz w:val="18"/>
              </w:rPr>
            </w:pPr>
            <w:r>
              <w:rPr>
                <w:sz w:val="18"/>
              </w:rPr>
              <w:t>Verizon Wireless</w:t>
            </w:r>
          </w:p>
        </w:tc>
      </w:tr>
      <w:tr w:rsidR="00070362" w14:paraId="1D9C70DF" w14:textId="77777777">
        <w:trPr>
          <w:trHeight w:val="300"/>
        </w:trPr>
        <w:tc>
          <w:tcPr>
            <w:tcW w:w="2114" w:type="dxa"/>
            <w:tcBorders>
              <w:top w:val="single" w:sz="2" w:space="0" w:color="auto"/>
              <w:bottom w:val="single" w:sz="2" w:space="0" w:color="auto"/>
            </w:tcBorders>
          </w:tcPr>
          <w:p w14:paraId="63F8CACC" w14:textId="77777777" w:rsidR="00070362" w:rsidRDefault="00070362">
            <w:pPr>
              <w:rPr>
                <w:sz w:val="18"/>
              </w:rPr>
            </w:pPr>
            <w:r>
              <w:rPr>
                <w:sz w:val="18"/>
              </w:rPr>
              <w:t>Charlotte Holden</w:t>
            </w:r>
          </w:p>
        </w:tc>
        <w:tc>
          <w:tcPr>
            <w:tcW w:w="2871" w:type="dxa"/>
            <w:tcBorders>
              <w:top w:val="single" w:sz="2" w:space="0" w:color="auto"/>
              <w:bottom w:val="single" w:sz="2" w:space="0" w:color="auto"/>
            </w:tcBorders>
          </w:tcPr>
          <w:p w14:paraId="5A88D6A4" w14:textId="77777777" w:rsidR="00070362" w:rsidRDefault="00070362">
            <w:pPr>
              <w:rPr>
                <w:sz w:val="18"/>
              </w:rPr>
            </w:pPr>
            <w:r>
              <w:rPr>
                <w:sz w:val="18"/>
              </w:rPr>
              <w:t>U.S. Cellular</w:t>
            </w:r>
          </w:p>
        </w:tc>
        <w:tc>
          <w:tcPr>
            <w:tcW w:w="2177" w:type="dxa"/>
            <w:tcBorders>
              <w:top w:val="single" w:sz="2" w:space="0" w:color="auto"/>
              <w:bottom w:val="single" w:sz="2" w:space="0" w:color="auto"/>
            </w:tcBorders>
          </w:tcPr>
          <w:p w14:paraId="4E9F25F2" w14:textId="77777777" w:rsidR="00070362" w:rsidRDefault="00070362">
            <w:pPr>
              <w:rPr>
                <w:sz w:val="18"/>
              </w:rPr>
            </w:pPr>
            <w:r>
              <w:rPr>
                <w:sz w:val="18"/>
              </w:rPr>
              <w:t xml:space="preserve">Anna Miller </w:t>
            </w:r>
          </w:p>
        </w:tc>
        <w:tc>
          <w:tcPr>
            <w:tcW w:w="2588" w:type="dxa"/>
            <w:tcBorders>
              <w:top w:val="single" w:sz="2" w:space="0" w:color="auto"/>
              <w:bottom w:val="single" w:sz="2" w:space="0" w:color="auto"/>
            </w:tcBorders>
          </w:tcPr>
          <w:p w14:paraId="4A7FA2FC" w14:textId="77777777" w:rsidR="00070362" w:rsidRDefault="00070362">
            <w:pPr>
              <w:rPr>
                <w:sz w:val="18"/>
              </w:rPr>
            </w:pPr>
            <w:proofErr w:type="spellStart"/>
            <w:r>
              <w:rPr>
                <w:sz w:val="18"/>
              </w:rPr>
              <w:t>Voicestream</w:t>
            </w:r>
            <w:proofErr w:type="spellEnd"/>
            <w:r>
              <w:rPr>
                <w:sz w:val="18"/>
              </w:rPr>
              <w:t xml:space="preserve"> Wireless</w:t>
            </w:r>
          </w:p>
        </w:tc>
      </w:tr>
      <w:tr w:rsidR="00070362" w14:paraId="5C6C72CC" w14:textId="77777777">
        <w:trPr>
          <w:trHeight w:val="300"/>
        </w:trPr>
        <w:tc>
          <w:tcPr>
            <w:tcW w:w="2114" w:type="dxa"/>
            <w:tcBorders>
              <w:top w:val="single" w:sz="2" w:space="0" w:color="auto"/>
              <w:bottom w:val="single" w:sz="2" w:space="0" w:color="auto"/>
            </w:tcBorders>
          </w:tcPr>
          <w:p w14:paraId="15A2CDE4" w14:textId="77777777" w:rsidR="00070362" w:rsidRDefault="00070362">
            <w:pPr>
              <w:rPr>
                <w:sz w:val="18"/>
              </w:rPr>
            </w:pPr>
            <w:r>
              <w:rPr>
                <w:sz w:val="18"/>
              </w:rPr>
              <w:t>John Malyar</w:t>
            </w:r>
          </w:p>
        </w:tc>
        <w:tc>
          <w:tcPr>
            <w:tcW w:w="2871" w:type="dxa"/>
            <w:tcBorders>
              <w:top w:val="single" w:sz="2" w:space="0" w:color="auto"/>
              <w:bottom w:val="single" w:sz="2" w:space="0" w:color="auto"/>
            </w:tcBorders>
          </w:tcPr>
          <w:p w14:paraId="21C1641E" w14:textId="77777777" w:rsidR="00070362" w:rsidRDefault="00070362">
            <w:pPr>
              <w:rPr>
                <w:sz w:val="18"/>
              </w:rPr>
            </w:pPr>
            <w:r>
              <w:rPr>
                <w:sz w:val="18"/>
              </w:rPr>
              <w:t>Telcordia</w:t>
            </w:r>
          </w:p>
        </w:tc>
        <w:tc>
          <w:tcPr>
            <w:tcW w:w="2177" w:type="dxa"/>
            <w:tcBorders>
              <w:top w:val="single" w:sz="2" w:space="0" w:color="auto"/>
              <w:bottom w:val="single" w:sz="2" w:space="0" w:color="auto"/>
            </w:tcBorders>
          </w:tcPr>
          <w:p w14:paraId="132AA6E5" w14:textId="77777777" w:rsidR="00070362" w:rsidRDefault="00070362">
            <w:pPr>
              <w:rPr>
                <w:sz w:val="18"/>
              </w:rPr>
            </w:pPr>
          </w:p>
        </w:tc>
        <w:tc>
          <w:tcPr>
            <w:tcW w:w="2588" w:type="dxa"/>
            <w:tcBorders>
              <w:top w:val="single" w:sz="2" w:space="0" w:color="auto"/>
              <w:bottom w:val="single" w:sz="2" w:space="0" w:color="auto"/>
            </w:tcBorders>
          </w:tcPr>
          <w:p w14:paraId="66516A6B" w14:textId="77777777" w:rsidR="00070362" w:rsidRDefault="00070362">
            <w:pPr>
              <w:rPr>
                <w:sz w:val="18"/>
              </w:rPr>
            </w:pPr>
          </w:p>
        </w:tc>
      </w:tr>
      <w:tr w:rsidR="00070362" w14:paraId="1135EAA8" w14:textId="77777777">
        <w:trPr>
          <w:cantSplit/>
          <w:trHeight w:val="300"/>
        </w:trPr>
        <w:tc>
          <w:tcPr>
            <w:tcW w:w="4985" w:type="dxa"/>
            <w:gridSpan w:val="2"/>
            <w:tcBorders>
              <w:top w:val="single" w:sz="2" w:space="0" w:color="auto"/>
              <w:bottom w:val="single" w:sz="2" w:space="0" w:color="auto"/>
            </w:tcBorders>
            <w:shd w:val="clear" w:color="auto" w:fill="C0C0C0"/>
          </w:tcPr>
          <w:p w14:paraId="477CD37A" w14:textId="77777777" w:rsidR="00070362" w:rsidRDefault="00070362">
            <w:pPr>
              <w:rPr>
                <w:sz w:val="18"/>
              </w:rPr>
            </w:pPr>
            <w:r>
              <w:rPr>
                <w:sz w:val="18"/>
              </w:rPr>
              <w:t>Participants Via the Conference Bridge:</w:t>
            </w:r>
          </w:p>
        </w:tc>
        <w:tc>
          <w:tcPr>
            <w:tcW w:w="2177" w:type="dxa"/>
            <w:tcBorders>
              <w:top w:val="single" w:sz="2" w:space="0" w:color="auto"/>
              <w:bottom w:val="single" w:sz="2" w:space="0" w:color="auto"/>
            </w:tcBorders>
            <w:shd w:val="clear" w:color="auto" w:fill="C0C0C0"/>
          </w:tcPr>
          <w:p w14:paraId="1AC9C138" w14:textId="77777777" w:rsidR="00070362" w:rsidRDefault="00070362">
            <w:pPr>
              <w:rPr>
                <w:sz w:val="18"/>
              </w:rPr>
            </w:pPr>
          </w:p>
        </w:tc>
        <w:tc>
          <w:tcPr>
            <w:tcW w:w="2588" w:type="dxa"/>
            <w:tcBorders>
              <w:top w:val="single" w:sz="2" w:space="0" w:color="auto"/>
              <w:bottom w:val="single" w:sz="2" w:space="0" w:color="auto"/>
            </w:tcBorders>
            <w:shd w:val="clear" w:color="auto" w:fill="C0C0C0"/>
          </w:tcPr>
          <w:p w14:paraId="49064946" w14:textId="77777777" w:rsidR="00070362" w:rsidRDefault="00070362">
            <w:pPr>
              <w:rPr>
                <w:sz w:val="18"/>
              </w:rPr>
            </w:pPr>
          </w:p>
        </w:tc>
      </w:tr>
      <w:tr w:rsidR="00070362" w14:paraId="6293D1EB" w14:textId="77777777">
        <w:trPr>
          <w:trHeight w:val="300"/>
        </w:trPr>
        <w:tc>
          <w:tcPr>
            <w:tcW w:w="2114" w:type="dxa"/>
            <w:tcBorders>
              <w:top w:val="single" w:sz="2" w:space="0" w:color="auto"/>
              <w:bottom w:val="single" w:sz="2" w:space="0" w:color="auto"/>
            </w:tcBorders>
          </w:tcPr>
          <w:p w14:paraId="5C77FBE8" w14:textId="77777777" w:rsidR="00070362" w:rsidRDefault="00070362">
            <w:pPr>
              <w:rPr>
                <w:sz w:val="18"/>
              </w:rPr>
            </w:pPr>
            <w:r>
              <w:rPr>
                <w:sz w:val="18"/>
              </w:rPr>
              <w:t>Dave Cochran</w:t>
            </w:r>
          </w:p>
        </w:tc>
        <w:tc>
          <w:tcPr>
            <w:tcW w:w="2871" w:type="dxa"/>
            <w:tcBorders>
              <w:top w:val="single" w:sz="2" w:space="0" w:color="auto"/>
              <w:bottom w:val="single" w:sz="2" w:space="0" w:color="auto"/>
            </w:tcBorders>
          </w:tcPr>
          <w:p w14:paraId="0207DB10" w14:textId="77777777" w:rsidR="00070362" w:rsidRDefault="00070362">
            <w:pPr>
              <w:rPr>
                <w:sz w:val="18"/>
              </w:rPr>
            </w:pPr>
            <w:r>
              <w:rPr>
                <w:sz w:val="18"/>
              </w:rPr>
              <w:t>BellSouth</w:t>
            </w:r>
          </w:p>
        </w:tc>
        <w:tc>
          <w:tcPr>
            <w:tcW w:w="2177" w:type="dxa"/>
            <w:tcBorders>
              <w:top w:val="single" w:sz="2" w:space="0" w:color="auto"/>
              <w:bottom w:val="single" w:sz="2" w:space="0" w:color="auto"/>
            </w:tcBorders>
          </w:tcPr>
          <w:p w14:paraId="026B97E2" w14:textId="77777777" w:rsidR="00070362" w:rsidRDefault="00070362">
            <w:pPr>
              <w:rPr>
                <w:sz w:val="18"/>
              </w:rPr>
            </w:pPr>
            <w:r>
              <w:rPr>
                <w:sz w:val="18"/>
              </w:rPr>
              <w:t>Dennis Rose</w:t>
            </w:r>
          </w:p>
        </w:tc>
        <w:tc>
          <w:tcPr>
            <w:tcW w:w="2588" w:type="dxa"/>
            <w:tcBorders>
              <w:top w:val="single" w:sz="2" w:space="0" w:color="auto"/>
              <w:bottom w:val="single" w:sz="2" w:space="0" w:color="auto"/>
            </w:tcBorders>
          </w:tcPr>
          <w:p w14:paraId="74AE6CE0" w14:textId="77777777" w:rsidR="00070362" w:rsidRDefault="00070362">
            <w:pPr>
              <w:rPr>
                <w:sz w:val="18"/>
              </w:rPr>
            </w:pPr>
            <w:r>
              <w:rPr>
                <w:sz w:val="18"/>
              </w:rPr>
              <w:t>CHR Solutions</w:t>
            </w:r>
          </w:p>
        </w:tc>
      </w:tr>
      <w:tr w:rsidR="00070362" w14:paraId="01C96A67" w14:textId="77777777">
        <w:trPr>
          <w:trHeight w:val="300"/>
        </w:trPr>
        <w:tc>
          <w:tcPr>
            <w:tcW w:w="2114" w:type="dxa"/>
            <w:tcBorders>
              <w:top w:val="single" w:sz="2" w:space="0" w:color="auto"/>
              <w:bottom w:val="single" w:sz="2" w:space="0" w:color="auto"/>
            </w:tcBorders>
          </w:tcPr>
          <w:p w14:paraId="5BE90301" w14:textId="77777777" w:rsidR="00070362" w:rsidRDefault="00070362">
            <w:pPr>
              <w:rPr>
                <w:sz w:val="18"/>
              </w:rPr>
            </w:pPr>
            <w:r>
              <w:rPr>
                <w:sz w:val="18"/>
              </w:rPr>
              <w:t>Mark Wood</w:t>
            </w:r>
          </w:p>
        </w:tc>
        <w:tc>
          <w:tcPr>
            <w:tcW w:w="2871" w:type="dxa"/>
            <w:tcBorders>
              <w:top w:val="single" w:sz="2" w:space="0" w:color="auto"/>
              <w:bottom w:val="single" w:sz="2" w:space="0" w:color="auto"/>
            </w:tcBorders>
          </w:tcPr>
          <w:p w14:paraId="15252704" w14:textId="77777777" w:rsidR="00070362" w:rsidRDefault="00070362">
            <w:pPr>
              <w:rPr>
                <w:sz w:val="18"/>
              </w:rPr>
            </w:pPr>
            <w:r>
              <w:rPr>
                <w:sz w:val="18"/>
              </w:rPr>
              <w:t>Cingular Wireless</w:t>
            </w:r>
          </w:p>
        </w:tc>
        <w:tc>
          <w:tcPr>
            <w:tcW w:w="2177" w:type="dxa"/>
            <w:tcBorders>
              <w:top w:val="single" w:sz="2" w:space="0" w:color="auto"/>
              <w:bottom w:val="single" w:sz="2" w:space="0" w:color="auto"/>
            </w:tcBorders>
          </w:tcPr>
          <w:p w14:paraId="4D567C46" w14:textId="77777777" w:rsidR="00070362" w:rsidRDefault="00070362">
            <w:pPr>
              <w:rPr>
                <w:sz w:val="18"/>
              </w:rPr>
            </w:pPr>
            <w:r>
              <w:rPr>
                <w:sz w:val="18"/>
              </w:rPr>
              <w:t>Liz Coakley</w:t>
            </w:r>
          </w:p>
        </w:tc>
        <w:tc>
          <w:tcPr>
            <w:tcW w:w="2588" w:type="dxa"/>
            <w:tcBorders>
              <w:top w:val="single" w:sz="2" w:space="0" w:color="auto"/>
              <w:bottom w:val="single" w:sz="2" w:space="0" w:color="auto"/>
            </w:tcBorders>
          </w:tcPr>
          <w:p w14:paraId="09EA6FA3" w14:textId="77777777" w:rsidR="00070362" w:rsidRDefault="00070362">
            <w:pPr>
              <w:rPr>
                <w:sz w:val="18"/>
              </w:rPr>
            </w:pPr>
            <w:r>
              <w:rPr>
                <w:sz w:val="18"/>
              </w:rPr>
              <w:t>SBC Wireline</w:t>
            </w:r>
          </w:p>
        </w:tc>
      </w:tr>
      <w:tr w:rsidR="00070362" w14:paraId="36089FE7" w14:textId="77777777">
        <w:trPr>
          <w:trHeight w:val="300"/>
        </w:trPr>
        <w:tc>
          <w:tcPr>
            <w:tcW w:w="2114" w:type="dxa"/>
            <w:tcBorders>
              <w:top w:val="single" w:sz="2" w:space="0" w:color="auto"/>
              <w:bottom w:val="single" w:sz="2" w:space="0" w:color="auto"/>
            </w:tcBorders>
          </w:tcPr>
          <w:p w14:paraId="2703AF03" w14:textId="77777777" w:rsidR="00070362" w:rsidRDefault="00070362">
            <w:pPr>
              <w:rPr>
                <w:sz w:val="18"/>
              </w:rPr>
            </w:pPr>
            <w:r>
              <w:rPr>
                <w:sz w:val="18"/>
              </w:rPr>
              <w:t>Dave Garner</w:t>
            </w:r>
          </w:p>
        </w:tc>
        <w:tc>
          <w:tcPr>
            <w:tcW w:w="2871" w:type="dxa"/>
            <w:tcBorders>
              <w:top w:val="single" w:sz="2" w:space="0" w:color="auto"/>
              <w:bottom w:val="single" w:sz="2" w:space="0" w:color="auto"/>
            </w:tcBorders>
          </w:tcPr>
          <w:p w14:paraId="535DC568" w14:textId="77777777" w:rsidR="00070362" w:rsidRDefault="00070362">
            <w:pPr>
              <w:rPr>
                <w:sz w:val="18"/>
              </w:rPr>
            </w:pPr>
            <w:r>
              <w:rPr>
                <w:sz w:val="18"/>
              </w:rPr>
              <w:t xml:space="preserve">Qwest </w:t>
            </w:r>
          </w:p>
        </w:tc>
        <w:tc>
          <w:tcPr>
            <w:tcW w:w="2177" w:type="dxa"/>
            <w:tcBorders>
              <w:top w:val="single" w:sz="2" w:space="0" w:color="auto"/>
              <w:bottom w:val="single" w:sz="2" w:space="0" w:color="auto"/>
            </w:tcBorders>
          </w:tcPr>
          <w:p w14:paraId="4F6B03EB" w14:textId="77777777" w:rsidR="00070362" w:rsidRDefault="00070362">
            <w:pPr>
              <w:rPr>
                <w:sz w:val="18"/>
              </w:rPr>
            </w:pPr>
            <w:r>
              <w:rPr>
                <w:sz w:val="18"/>
              </w:rPr>
              <w:t>Jennifer Gory</w:t>
            </w:r>
          </w:p>
        </w:tc>
        <w:tc>
          <w:tcPr>
            <w:tcW w:w="2588" w:type="dxa"/>
            <w:tcBorders>
              <w:top w:val="single" w:sz="2" w:space="0" w:color="auto"/>
              <w:bottom w:val="single" w:sz="2" w:space="0" w:color="auto"/>
            </w:tcBorders>
          </w:tcPr>
          <w:p w14:paraId="57821FBE" w14:textId="77777777" w:rsidR="00070362" w:rsidRDefault="00070362">
            <w:pPr>
              <w:rPr>
                <w:sz w:val="18"/>
              </w:rPr>
            </w:pPr>
            <w:proofErr w:type="spellStart"/>
            <w:r>
              <w:rPr>
                <w:sz w:val="18"/>
              </w:rPr>
              <w:t>Altell</w:t>
            </w:r>
            <w:proofErr w:type="spellEnd"/>
          </w:p>
        </w:tc>
      </w:tr>
      <w:tr w:rsidR="00070362" w14:paraId="101FC3CF" w14:textId="77777777">
        <w:trPr>
          <w:trHeight w:val="300"/>
        </w:trPr>
        <w:tc>
          <w:tcPr>
            <w:tcW w:w="2114" w:type="dxa"/>
            <w:tcBorders>
              <w:top w:val="single" w:sz="2" w:space="0" w:color="auto"/>
              <w:bottom w:val="single" w:sz="2" w:space="0" w:color="auto"/>
            </w:tcBorders>
          </w:tcPr>
          <w:p w14:paraId="03EB3FA2" w14:textId="77777777" w:rsidR="00070362" w:rsidRDefault="00070362">
            <w:pPr>
              <w:rPr>
                <w:sz w:val="18"/>
              </w:rPr>
            </w:pPr>
            <w:r>
              <w:rPr>
                <w:sz w:val="18"/>
              </w:rPr>
              <w:t>Sheryl Gordon</w:t>
            </w:r>
          </w:p>
        </w:tc>
        <w:tc>
          <w:tcPr>
            <w:tcW w:w="2871" w:type="dxa"/>
            <w:tcBorders>
              <w:top w:val="single" w:sz="2" w:space="0" w:color="auto"/>
              <w:bottom w:val="single" w:sz="2" w:space="0" w:color="auto"/>
            </w:tcBorders>
          </w:tcPr>
          <w:p w14:paraId="72F4CDBD" w14:textId="77777777" w:rsidR="00070362" w:rsidRDefault="00070362">
            <w:pPr>
              <w:rPr>
                <w:sz w:val="18"/>
              </w:rPr>
            </w:pPr>
            <w:proofErr w:type="spellStart"/>
            <w:r>
              <w:rPr>
                <w:sz w:val="18"/>
              </w:rPr>
              <w:t>Altell</w:t>
            </w:r>
            <w:proofErr w:type="spellEnd"/>
          </w:p>
        </w:tc>
        <w:tc>
          <w:tcPr>
            <w:tcW w:w="2177" w:type="dxa"/>
            <w:tcBorders>
              <w:top w:val="single" w:sz="2" w:space="0" w:color="auto"/>
              <w:bottom w:val="single" w:sz="2" w:space="0" w:color="auto"/>
            </w:tcBorders>
          </w:tcPr>
          <w:p w14:paraId="3485CC17" w14:textId="77777777" w:rsidR="00070362" w:rsidRDefault="00070362">
            <w:pPr>
              <w:rPr>
                <w:sz w:val="18"/>
              </w:rPr>
            </w:pPr>
            <w:r>
              <w:rPr>
                <w:sz w:val="18"/>
              </w:rPr>
              <w:t xml:space="preserve">Rick </w:t>
            </w:r>
            <w:proofErr w:type="spellStart"/>
            <w:r>
              <w:rPr>
                <w:sz w:val="18"/>
              </w:rPr>
              <w:t>Dressner</w:t>
            </w:r>
            <w:proofErr w:type="spellEnd"/>
          </w:p>
        </w:tc>
        <w:tc>
          <w:tcPr>
            <w:tcW w:w="2588" w:type="dxa"/>
            <w:tcBorders>
              <w:top w:val="single" w:sz="2" w:space="0" w:color="auto"/>
              <w:bottom w:val="single" w:sz="2" w:space="0" w:color="auto"/>
            </w:tcBorders>
          </w:tcPr>
          <w:p w14:paraId="0BF34EB9" w14:textId="77777777" w:rsidR="00070362" w:rsidRDefault="00070362">
            <w:pPr>
              <w:rPr>
                <w:sz w:val="18"/>
              </w:rPr>
            </w:pPr>
            <w:r>
              <w:rPr>
                <w:sz w:val="18"/>
              </w:rPr>
              <w:t>Sprint PCS</w:t>
            </w:r>
          </w:p>
        </w:tc>
      </w:tr>
      <w:tr w:rsidR="00070362" w14:paraId="1DABA09E" w14:textId="77777777">
        <w:trPr>
          <w:trHeight w:val="300"/>
        </w:trPr>
        <w:tc>
          <w:tcPr>
            <w:tcW w:w="2114" w:type="dxa"/>
            <w:tcBorders>
              <w:top w:val="single" w:sz="2" w:space="0" w:color="auto"/>
              <w:bottom w:val="single" w:sz="2" w:space="0" w:color="auto"/>
            </w:tcBorders>
          </w:tcPr>
          <w:p w14:paraId="2DA7A34F" w14:textId="77777777" w:rsidR="00070362" w:rsidRDefault="00070362">
            <w:pPr>
              <w:rPr>
                <w:sz w:val="18"/>
              </w:rPr>
            </w:pPr>
            <w:r>
              <w:rPr>
                <w:sz w:val="18"/>
              </w:rPr>
              <w:t>Lonnie Keck</w:t>
            </w:r>
          </w:p>
        </w:tc>
        <w:tc>
          <w:tcPr>
            <w:tcW w:w="2871" w:type="dxa"/>
            <w:tcBorders>
              <w:top w:val="single" w:sz="2" w:space="0" w:color="auto"/>
              <w:bottom w:val="single" w:sz="2" w:space="0" w:color="auto"/>
            </w:tcBorders>
          </w:tcPr>
          <w:p w14:paraId="1330CFA4" w14:textId="77777777" w:rsidR="00070362" w:rsidRDefault="00070362">
            <w:pPr>
              <w:rPr>
                <w:sz w:val="18"/>
              </w:rPr>
            </w:pPr>
            <w:r>
              <w:rPr>
                <w:sz w:val="18"/>
              </w:rPr>
              <w:t>AT&amp;T Wireless</w:t>
            </w:r>
          </w:p>
        </w:tc>
        <w:tc>
          <w:tcPr>
            <w:tcW w:w="2177" w:type="dxa"/>
            <w:tcBorders>
              <w:top w:val="single" w:sz="2" w:space="0" w:color="auto"/>
              <w:bottom w:val="single" w:sz="2" w:space="0" w:color="auto"/>
            </w:tcBorders>
          </w:tcPr>
          <w:p w14:paraId="529A740F" w14:textId="77777777" w:rsidR="00070362" w:rsidRDefault="00070362">
            <w:pPr>
              <w:rPr>
                <w:sz w:val="18"/>
              </w:rPr>
            </w:pPr>
            <w:r>
              <w:rPr>
                <w:sz w:val="18"/>
              </w:rPr>
              <w:t xml:space="preserve">Steve </w:t>
            </w:r>
            <w:proofErr w:type="spellStart"/>
            <w:r>
              <w:rPr>
                <w:sz w:val="18"/>
              </w:rPr>
              <w:t>Hallbauer</w:t>
            </w:r>
            <w:proofErr w:type="spellEnd"/>
          </w:p>
        </w:tc>
        <w:tc>
          <w:tcPr>
            <w:tcW w:w="2588" w:type="dxa"/>
            <w:tcBorders>
              <w:top w:val="single" w:sz="2" w:space="0" w:color="auto"/>
              <w:bottom w:val="single" w:sz="2" w:space="0" w:color="auto"/>
            </w:tcBorders>
          </w:tcPr>
          <w:p w14:paraId="0A63471C" w14:textId="77777777" w:rsidR="00070362" w:rsidRDefault="00070362">
            <w:pPr>
              <w:rPr>
                <w:sz w:val="18"/>
              </w:rPr>
            </w:pPr>
            <w:r>
              <w:rPr>
                <w:sz w:val="18"/>
              </w:rPr>
              <w:t>CHR Solutions</w:t>
            </w:r>
          </w:p>
        </w:tc>
      </w:tr>
      <w:tr w:rsidR="00070362" w14:paraId="1C6078B5" w14:textId="77777777">
        <w:trPr>
          <w:trHeight w:val="300"/>
        </w:trPr>
        <w:tc>
          <w:tcPr>
            <w:tcW w:w="2114" w:type="dxa"/>
            <w:tcBorders>
              <w:top w:val="single" w:sz="2" w:space="0" w:color="auto"/>
              <w:bottom w:val="single" w:sz="2" w:space="0" w:color="auto"/>
            </w:tcBorders>
          </w:tcPr>
          <w:p w14:paraId="5C3D7DA7" w14:textId="77777777" w:rsidR="00070362" w:rsidRDefault="00070362">
            <w:pPr>
              <w:rPr>
                <w:sz w:val="18"/>
              </w:rPr>
            </w:pPr>
            <w:r>
              <w:rPr>
                <w:sz w:val="18"/>
              </w:rPr>
              <w:t>Mary Brien</w:t>
            </w:r>
          </w:p>
        </w:tc>
        <w:tc>
          <w:tcPr>
            <w:tcW w:w="2871" w:type="dxa"/>
            <w:tcBorders>
              <w:top w:val="single" w:sz="2" w:space="0" w:color="auto"/>
              <w:bottom w:val="single" w:sz="2" w:space="0" w:color="auto"/>
            </w:tcBorders>
          </w:tcPr>
          <w:p w14:paraId="3E0A489C" w14:textId="77777777" w:rsidR="00070362" w:rsidRDefault="00070362">
            <w:pPr>
              <w:rPr>
                <w:sz w:val="18"/>
              </w:rPr>
            </w:pPr>
            <w:r>
              <w:rPr>
                <w:sz w:val="18"/>
              </w:rPr>
              <w:t>Sprint PCS</w:t>
            </w:r>
          </w:p>
        </w:tc>
        <w:tc>
          <w:tcPr>
            <w:tcW w:w="2177" w:type="dxa"/>
            <w:tcBorders>
              <w:top w:val="single" w:sz="2" w:space="0" w:color="auto"/>
              <w:bottom w:val="single" w:sz="2" w:space="0" w:color="auto"/>
            </w:tcBorders>
          </w:tcPr>
          <w:p w14:paraId="2B905374" w14:textId="77777777" w:rsidR="00070362" w:rsidRDefault="00070362">
            <w:pPr>
              <w:rPr>
                <w:sz w:val="18"/>
              </w:rPr>
            </w:pPr>
            <w:proofErr w:type="gramStart"/>
            <w:r>
              <w:rPr>
                <w:sz w:val="18"/>
              </w:rPr>
              <w:t>Kirby ?</w:t>
            </w:r>
            <w:proofErr w:type="gramEnd"/>
          </w:p>
        </w:tc>
        <w:tc>
          <w:tcPr>
            <w:tcW w:w="2588" w:type="dxa"/>
            <w:tcBorders>
              <w:top w:val="single" w:sz="2" w:space="0" w:color="auto"/>
              <w:bottom w:val="single" w:sz="2" w:space="0" w:color="auto"/>
            </w:tcBorders>
          </w:tcPr>
          <w:p w14:paraId="5ADE4741" w14:textId="77777777" w:rsidR="00070362" w:rsidRDefault="00070362">
            <w:pPr>
              <w:rPr>
                <w:sz w:val="18"/>
              </w:rPr>
            </w:pPr>
            <w:r>
              <w:rPr>
                <w:sz w:val="18"/>
              </w:rPr>
              <w:t>Sprint</w:t>
            </w:r>
          </w:p>
        </w:tc>
      </w:tr>
    </w:tbl>
    <w:p w14:paraId="3C038767" w14:textId="77777777" w:rsidR="00070362" w:rsidRDefault="00070362">
      <w:pPr>
        <w:rPr>
          <w:b/>
          <w:color w:val="000000"/>
          <w:sz w:val="24"/>
          <w:u w:val="single"/>
        </w:rPr>
      </w:pPr>
    </w:p>
    <w:p w14:paraId="6E6E577A" w14:textId="77777777" w:rsidR="00070362" w:rsidRDefault="00070362">
      <w:pPr>
        <w:pStyle w:val="Header"/>
        <w:tabs>
          <w:tab w:val="clear" w:pos="4320"/>
          <w:tab w:val="clear" w:pos="8640"/>
        </w:tabs>
        <w:rPr>
          <w:snapToGrid/>
        </w:rPr>
      </w:pPr>
    </w:p>
    <w:p w14:paraId="1A1ED417" w14:textId="77777777" w:rsidR="00070362" w:rsidRDefault="00070362">
      <w:pPr>
        <w:pStyle w:val="Heading1"/>
      </w:pPr>
      <w:r>
        <w:t>Meeting Minutes:</w:t>
      </w:r>
    </w:p>
    <w:p w14:paraId="2BBB3812" w14:textId="77777777" w:rsidR="00070362" w:rsidRDefault="00070362">
      <w:pPr>
        <w:rPr>
          <w:color w:val="000000"/>
        </w:rPr>
      </w:pPr>
    </w:p>
    <w:p w14:paraId="4862C97B" w14:textId="77777777" w:rsidR="00070362" w:rsidRDefault="00070362">
      <w:pPr>
        <w:pStyle w:val="Header"/>
        <w:tabs>
          <w:tab w:val="clear" w:pos="4320"/>
          <w:tab w:val="clear" w:pos="8640"/>
        </w:tabs>
        <w:rPr>
          <w:snapToGrid/>
          <w:color w:val="000000"/>
          <w:sz w:val="24"/>
          <w:u w:val="single"/>
        </w:rPr>
      </w:pPr>
      <w:r>
        <w:rPr>
          <w:color w:val="000000"/>
          <w:sz w:val="24"/>
          <w:u w:val="single"/>
        </w:rPr>
        <w:t>Introductions and Agenda Review</w:t>
      </w:r>
    </w:p>
    <w:p w14:paraId="10D83D57" w14:textId="77777777" w:rsidR="00070362" w:rsidRDefault="00070362">
      <w:pPr>
        <w:pStyle w:val="Header"/>
        <w:tabs>
          <w:tab w:val="clear" w:pos="4320"/>
          <w:tab w:val="clear" w:pos="8640"/>
        </w:tabs>
        <w:rPr>
          <w:snapToGrid/>
          <w:color w:val="000000"/>
        </w:rPr>
      </w:pPr>
    </w:p>
    <w:p w14:paraId="52B5FB49" w14:textId="77777777" w:rsidR="00070362" w:rsidRDefault="00070362">
      <w:pPr>
        <w:pStyle w:val="Header"/>
        <w:tabs>
          <w:tab w:val="clear" w:pos="4320"/>
          <w:tab w:val="clear" w:pos="8640"/>
        </w:tabs>
        <w:rPr>
          <w:snapToGrid/>
          <w:color w:val="000000"/>
        </w:rPr>
      </w:pPr>
      <w:r>
        <w:rPr>
          <w:snapToGrid/>
          <w:color w:val="000000"/>
        </w:rPr>
        <w:t>Introductions were made and the agenda reviewed.</w:t>
      </w:r>
    </w:p>
    <w:p w14:paraId="2A7600B4" w14:textId="77777777" w:rsidR="00070362" w:rsidRDefault="00070362">
      <w:pPr>
        <w:pStyle w:val="Header"/>
        <w:tabs>
          <w:tab w:val="clear" w:pos="4320"/>
          <w:tab w:val="clear" w:pos="8640"/>
        </w:tabs>
        <w:rPr>
          <w:snapToGrid/>
          <w:color w:val="000000"/>
        </w:rPr>
      </w:pPr>
    </w:p>
    <w:p w14:paraId="0C05C36C" w14:textId="77777777" w:rsidR="00070362" w:rsidRDefault="00070362">
      <w:pPr>
        <w:rPr>
          <w:color w:val="000000"/>
          <w:sz w:val="24"/>
          <w:u w:val="single"/>
        </w:rPr>
      </w:pPr>
      <w:r>
        <w:rPr>
          <w:color w:val="000000"/>
          <w:sz w:val="24"/>
          <w:u w:val="single"/>
        </w:rPr>
        <w:t>Reviewed Minutes from Previous Month</w:t>
      </w:r>
    </w:p>
    <w:p w14:paraId="5426CB64" w14:textId="77777777" w:rsidR="00070362" w:rsidRDefault="00070362">
      <w:pPr>
        <w:rPr>
          <w:color w:val="000000"/>
        </w:rPr>
      </w:pPr>
    </w:p>
    <w:p w14:paraId="6F55AE44" w14:textId="77777777" w:rsidR="00070362" w:rsidRDefault="00070362">
      <w:pPr>
        <w:pStyle w:val="Header"/>
        <w:tabs>
          <w:tab w:val="clear" w:pos="4320"/>
          <w:tab w:val="clear" w:pos="8640"/>
        </w:tabs>
        <w:rPr>
          <w:color w:val="000000"/>
        </w:rPr>
      </w:pPr>
      <w:r>
        <w:rPr>
          <w:color w:val="000000"/>
        </w:rPr>
        <w:t>Team identified the following changes that need to be made to the November 2001 minutes:</w:t>
      </w:r>
    </w:p>
    <w:p w14:paraId="450B58F8" w14:textId="77777777" w:rsidR="00070362" w:rsidRDefault="00070362">
      <w:pPr>
        <w:pStyle w:val="Header"/>
        <w:tabs>
          <w:tab w:val="clear" w:pos="4320"/>
          <w:tab w:val="clear" w:pos="8640"/>
        </w:tabs>
        <w:rPr>
          <w:snapToGrid/>
          <w:color w:val="000000"/>
        </w:rPr>
      </w:pPr>
    </w:p>
    <w:p w14:paraId="5F60FC15" w14:textId="77777777" w:rsidR="00070362" w:rsidRDefault="00070362" w:rsidP="00070362">
      <w:pPr>
        <w:pStyle w:val="Header"/>
        <w:numPr>
          <w:ilvl w:val="0"/>
          <w:numId w:val="10"/>
        </w:numPr>
        <w:tabs>
          <w:tab w:val="clear" w:pos="4320"/>
          <w:tab w:val="clear" w:pos="8640"/>
        </w:tabs>
        <w:rPr>
          <w:snapToGrid/>
          <w:color w:val="000000"/>
        </w:rPr>
      </w:pPr>
      <w:r>
        <w:rPr>
          <w:snapToGrid/>
          <w:color w:val="000000"/>
        </w:rPr>
        <w:t>The two references to “9/16/01” need to be changed to “9/16/02”.</w:t>
      </w:r>
    </w:p>
    <w:p w14:paraId="26B3913D" w14:textId="77777777" w:rsidR="00070362" w:rsidRDefault="00070362" w:rsidP="00070362">
      <w:pPr>
        <w:pStyle w:val="Header"/>
        <w:numPr>
          <w:ilvl w:val="0"/>
          <w:numId w:val="10"/>
        </w:numPr>
        <w:tabs>
          <w:tab w:val="clear" w:pos="4320"/>
          <w:tab w:val="clear" w:pos="8640"/>
        </w:tabs>
        <w:rPr>
          <w:color w:val="000000"/>
        </w:rPr>
      </w:pPr>
      <w:r>
        <w:rPr>
          <w:snapToGrid/>
          <w:color w:val="000000"/>
        </w:rPr>
        <w:t>Under “NPAC’s Readiness for Wireless Portability – Patrick Lockett” make the following change:</w:t>
      </w:r>
      <w:r>
        <w:rPr>
          <w:color w:val="000000"/>
        </w:rPr>
        <w:t xml:space="preserve">  </w:t>
      </w:r>
    </w:p>
    <w:p w14:paraId="51D7A24F" w14:textId="77777777" w:rsidR="00070362" w:rsidRDefault="00070362">
      <w:pPr>
        <w:pStyle w:val="Header"/>
        <w:tabs>
          <w:tab w:val="clear" w:pos="4320"/>
          <w:tab w:val="clear" w:pos="8640"/>
        </w:tabs>
        <w:ind w:left="360"/>
      </w:pPr>
    </w:p>
    <w:p w14:paraId="587A7FAC" w14:textId="77777777" w:rsidR="00070362" w:rsidRDefault="00070362">
      <w:pPr>
        <w:pStyle w:val="Header"/>
        <w:tabs>
          <w:tab w:val="clear" w:pos="4320"/>
          <w:tab w:val="clear" w:pos="8640"/>
        </w:tabs>
        <w:ind w:left="360"/>
        <w:rPr>
          <w:color w:val="000000"/>
        </w:rPr>
      </w:pPr>
      <w:r>
        <w:t xml:space="preserve">Replace </w:t>
      </w:r>
    </w:p>
    <w:p w14:paraId="6E80D48E" w14:textId="77777777" w:rsidR="00070362" w:rsidRDefault="00070362">
      <w:pPr>
        <w:pStyle w:val="Header"/>
        <w:tabs>
          <w:tab w:val="clear" w:pos="4320"/>
          <w:tab w:val="clear" w:pos="8640"/>
        </w:tabs>
        <w:ind w:left="720"/>
        <w:rPr>
          <w:color w:val="000000"/>
        </w:rPr>
      </w:pPr>
      <w:r>
        <w:rPr>
          <w:i/>
          <w:iCs/>
        </w:rPr>
        <w:t xml:space="preserve">“One team member commented that </w:t>
      </w:r>
      <w:proofErr w:type="spellStart"/>
      <w:r>
        <w:rPr>
          <w:i/>
          <w:iCs/>
        </w:rPr>
        <w:t>NeuStar</w:t>
      </w:r>
      <w:proofErr w:type="spellEnd"/>
      <w:r>
        <w:rPr>
          <w:i/>
          <w:iCs/>
        </w:rPr>
        <w:t xml:space="preserve"> provides help desk support 24 hours/day and that as carrier revenues increase it supports the increased staffing of the help desk.”</w:t>
      </w:r>
      <w:r>
        <w:rPr>
          <w:color w:val="000000"/>
        </w:rPr>
        <w:t xml:space="preserve">  </w:t>
      </w:r>
    </w:p>
    <w:p w14:paraId="5F673B14" w14:textId="77777777" w:rsidR="00070362" w:rsidRDefault="00070362">
      <w:pPr>
        <w:pStyle w:val="Header"/>
        <w:tabs>
          <w:tab w:val="clear" w:pos="4320"/>
          <w:tab w:val="clear" w:pos="8640"/>
        </w:tabs>
        <w:ind w:left="360"/>
      </w:pPr>
      <w:r>
        <w:rPr>
          <w:color w:val="000000"/>
        </w:rPr>
        <w:t>w</w:t>
      </w:r>
      <w:r>
        <w:t xml:space="preserve">ith </w:t>
      </w:r>
    </w:p>
    <w:p w14:paraId="165252E6" w14:textId="77777777" w:rsidR="00070362" w:rsidRDefault="00070362">
      <w:pPr>
        <w:pStyle w:val="Header"/>
        <w:tabs>
          <w:tab w:val="clear" w:pos="4320"/>
          <w:tab w:val="clear" w:pos="8640"/>
        </w:tabs>
        <w:ind w:left="720"/>
        <w:rPr>
          <w:color w:val="000000"/>
        </w:rPr>
      </w:pPr>
      <w:r>
        <w:rPr>
          <w:i/>
          <w:iCs/>
        </w:rPr>
        <w:t xml:space="preserve">“In response to concerns expressed over increased charges for extended Help Desk operating hours, Steve </w:t>
      </w:r>
      <w:proofErr w:type="spellStart"/>
      <w:r>
        <w:rPr>
          <w:i/>
          <w:iCs/>
        </w:rPr>
        <w:t>Addicks</w:t>
      </w:r>
      <w:proofErr w:type="spellEnd"/>
      <w:r>
        <w:rPr>
          <w:i/>
          <w:iCs/>
        </w:rPr>
        <w:t xml:space="preserve"> (WorldCom) pointed out that one should not assume there necessarily is an additional charge for extended Help Desk operating hours due to wireless porting.  This is because the Help </w:t>
      </w:r>
      <w:r>
        <w:rPr>
          <w:i/>
          <w:iCs/>
        </w:rPr>
        <w:lastRenderedPageBreak/>
        <w:t>Desk is largely funded by porting transaction charges and this revenue stream is increased by the same activities driving the need for longer Help Desk operating hours.”</w:t>
      </w:r>
    </w:p>
    <w:p w14:paraId="6F42F2DB" w14:textId="77777777" w:rsidR="00070362" w:rsidRDefault="00070362">
      <w:pPr>
        <w:pStyle w:val="Header"/>
        <w:tabs>
          <w:tab w:val="clear" w:pos="4320"/>
          <w:tab w:val="clear" w:pos="8640"/>
        </w:tabs>
        <w:rPr>
          <w:b/>
          <w:bCs/>
          <w:snapToGrid/>
          <w:color w:val="000000"/>
          <w:highlight w:val="yellow"/>
          <w:u w:val="single"/>
        </w:rPr>
      </w:pPr>
    </w:p>
    <w:p w14:paraId="766BA953"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Modify the November 2001 minutes and email updated version to the team. (Brigitte Brown)</w:t>
      </w:r>
    </w:p>
    <w:p w14:paraId="1B4BD967" w14:textId="77777777" w:rsidR="00070362" w:rsidRDefault="00070362">
      <w:pPr>
        <w:pStyle w:val="Header"/>
        <w:tabs>
          <w:tab w:val="clear" w:pos="4320"/>
          <w:tab w:val="clear" w:pos="8640"/>
        </w:tabs>
        <w:rPr>
          <w:snapToGrid/>
          <w:color w:val="000000"/>
        </w:rPr>
      </w:pPr>
    </w:p>
    <w:p w14:paraId="47E00ED2" w14:textId="77777777" w:rsidR="00070362" w:rsidRDefault="00070362">
      <w:pPr>
        <w:pStyle w:val="Header"/>
        <w:tabs>
          <w:tab w:val="clear" w:pos="4320"/>
          <w:tab w:val="clear" w:pos="8640"/>
        </w:tabs>
        <w:rPr>
          <w:snapToGrid/>
          <w:color w:val="000000"/>
        </w:rPr>
      </w:pPr>
    </w:p>
    <w:p w14:paraId="79A57649" w14:textId="77777777" w:rsidR="00070362" w:rsidRDefault="00070362">
      <w:pPr>
        <w:pStyle w:val="Header"/>
        <w:tabs>
          <w:tab w:val="clear" w:pos="4320"/>
          <w:tab w:val="clear" w:pos="8640"/>
        </w:tabs>
        <w:rPr>
          <w:snapToGrid/>
          <w:color w:val="000000"/>
        </w:rPr>
      </w:pPr>
    </w:p>
    <w:p w14:paraId="5BB7D337" w14:textId="77777777" w:rsidR="00070362" w:rsidRDefault="00070362">
      <w:pPr>
        <w:pStyle w:val="Header"/>
        <w:tabs>
          <w:tab w:val="clear" w:pos="4320"/>
          <w:tab w:val="clear" w:pos="8640"/>
        </w:tabs>
        <w:rPr>
          <w:snapToGrid/>
          <w:color w:val="000000"/>
        </w:rPr>
      </w:pPr>
      <w:r>
        <w:rPr>
          <w:color w:val="000000"/>
          <w:sz w:val="24"/>
          <w:u w:val="single"/>
        </w:rPr>
        <w:t>Introduction of New Business Items:</w:t>
      </w:r>
    </w:p>
    <w:p w14:paraId="362ED932" w14:textId="77777777" w:rsidR="00070362" w:rsidRDefault="00070362">
      <w:pPr>
        <w:pStyle w:val="Header"/>
        <w:tabs>
          <w:tab w:val="clear" w:pos="4320"/>
          <w:tab w:val="clear" w:pos="8640"/>
        </w:tabs>
        <w:rPr>
          <w:snapToGrid/>
          <w:color w:val="000000"/>
        </w:rPr>
      </w:pPr>
    </w:p>
    <w:p w14:paraId="3E4F2270" w14:textId="77777777" w:rsidR="00070362" w:rsidRDefault="00070362" w:rsidP="00070362">
      <w:pPr>
        <w:pStyle w:val="Header"/>
        <w:numPr>
          <w:ilvl w:val="0"/>
          <w:numId w:val="1"/>
        </w:numPr>
        <w:tabs>
          <w:tab w:val="clear" w:pos="4320"/>
          <w:tab w:val="clear" w:pos="8640"/>
        </w:tabs>
        <w:rPr>
          <w:i/>
          <w:iCs/>
          <w:snapToGrid/>
          <w:color w:val="000000"/>
        </w:rPr>
      </w:pPr>
      <w:r>
        <w:rPr>
          <w:i/>
          <w:iCs/>
          <w:snapToGrid/>
          <w:color w:val="000000"/>
        </w:rPr>
        <w:t>NANC Updates:</w:t>
      </w:r>
    </w:p>
    <w:p w14:paraId="7CE90344" w14:textId="77777777" w:rsidR="00070362" w:rsidRDefault="00070362">
      <w:pPr>
        <w:pStyle w:val="Header"/>
        <w:tabs>
          <w:tab w:val="clear" w:pos="4320"/>
          <w:tab w:val="clear" w:pos="8640"/>
        </w:tabs>
        <w:rPr>
          <w:i/>
          <w:iCs/>
          <w:snapToGrid/>
          <w:color w:val="000000"/>
        </w:rPr>
      </w:pPr>
    </w:p>
    <w:p w14:paraId="122F4D14"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The WNPO does not have authorization from the NANC to send a letter to the FCC regarding the updated implementation timeline and stating the issues that have caused delays in inter-carrier testing.</w:t>
      </w:r>
    </w:p>
    <w:p w14:paraId="3BACB808"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The WNPO does not have authorization from the NANC to send a letter to vendors requesting input on their ability to support porting and pooling.</w:t>
      </w:r>
    </w:p>
    <w:p w14:paraId="6C1CD47C"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Any letter written by the WNPO must go through NANC approval before being sent out.</w:t>
      </w:r>
    </w:p>
    <w:p w14:paraId="29108120"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 xml:space="preserve">The NANC indicated that individual companies with concerns or issues should send letters directly to the FCC and vendors.  </w:t>
      </w:r>
    </w:p>
    <w:p w14:paraId="793667A3" w14:textId="77777777" w:rsidR="00070362" w:rsidRDefault="00357E4A" w:rsidP="00070362">
      <w:pPr>
        <w:pStyle w:val="Header"/>
        <w:numPr>
          <w:ilvl w:val="1"/>
          <w:numId w:val="1"/>
        </w:numPr>
        <w:tabs>
          <w:tab w:val="clear" w:pos="4320"/>
          <w:tab w:val="clear" w:pos="8640"/>
        </w:tabs>
        <w:rPr>
          <w:snapToGrid/>
          <w:color w:val="000000"/>
        </w:rPr>
      </w:pPr>
      <w:r>
        <w:rPr>
          <w:noProof/>
          <w:snapToGrid/>
          <w:color w:val="000000"/>
        </w:rPr>
        <w:object w:dxaOrig="1440" w:dyaOrig="1440" w14:anchorId="756DD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137.25pt;margin-top:40.65pt;width:83.8pt;height:54.15pt;z-index:251654656">
            <v:imagedata r:id="rId7" o:title=""/>
            <w10:wrap type="topAndBottom"/>
          </v:shape>
          <o:OLEObject Type="Embed" ProgID="Package" ShapeID="_x0000_s2075" DrawAspect="Icon" ObjectID="_1734525858" r:id="rId8"/>
        </w:object>
      </w:r>
      <w:r w:rsidR="00070362">
        <w:rPr>
          <w:snapToGrid/>
          <w:color w:val="000000"/>
        </w:rPr>
        <w:t>CTIA sent a letter to the FCC on 11/21/01 (attached below) reiterating the concerns that the WNPO had communicated to NANC in October 2001.  CTIA’s letter also referenced the letter that NANC sent to the FCC on 11/20/01.</w:t>
      </w:r>
    </w:p>
    <w:p w14:paraId="3732CF34" w14:textId="77777777" w:rsidR="00070362" w:rsidRDefault="00070362">
      <w:pPr>
        <w:pStyle w:val="Header"/>
        <w:tabs>
          <w:tab w:val="clear" w:pos="4320"/>
          <w:tab w:val="clear" w:pos="8640"/>
        </w:tabs>
        <w:rPr>
          <w:snapToGrid/>
          <w:color w:val="000000"/>
        </w:rPr>
      </w:pPr>
    </w:p>
    <w:p w14:paraId="3343C273" w14:textId="77777777" w:rsidR="00070362" w:rsidRDefault="00357E4A" w:rsidP="00070362">
      <w:pPr>
        <w:pStyle w:val="Header"/>
        <w:numPr>
          <w:ilvl w:val="0"/>
          <w:numId w:val="1"/>
        </w:numPr>
        <w:tabs>
          <w:tab w:val="clear" w:pos="4320"/>
          <w:tab w:val="clear" w:pos="8640"/>
        </w:tabs>
        <w:rPr>
          <w:i/>
          <w:iCs/>
          <w:snapToGrid/>
          <w:color w:val="000000"/>
        </w:rPr>
      </w:pPr>
      <w:r>
        <w:rPr>
          <w:i/>
          <w:iCs/>
          <w:noProof/>
          <w:snapToGrid/>
          <w:color w:val="000000"/>
        </w:rPr>
        <w:object w:dxaOrig="1440" w:dyaOrig="1440" w14:anchorId="11DD844D">
          <v:shape id="_x0000_s2076" type="#_x0000_t75" style="position:absolute;left:0;text-align:left;margin-left:119.25pt;margin-top:96.15pt;width:76.5pt;height:49.5pt;z-index:251655680">
            <v:imagedata r:id="rId9" o:title=""/>
            <w10:wrap type="topAndBottom"/>
          </v:shape>
          <o:OLEObject Type="Embed" ProgID="PowerPoint.Show.8" ShapeID="_x0000_s2076" DrawAspect="Icon" ObjectID="_1734525859" r:id="rId10"/>
        </w:object>
      </w:r>
      <w:r w:rsidR="00070362">
        <w:rPr>
          <w:i/>
          <w:iCs/>
          <w:snapToGrid/>
          <w:color w:val="000000"/>
        </w:rPr>
        <w:t>Revised Implementation Timeline:</w:t>
      </w:r>
    </w:p>
    <w:p w14:paraId="49879755" w14:textId="77777777" w:rsidR="00070362" w:rsidRDefault="00070362">
      <w:pPr>
        <w:pStyle w:val="Header"/>
        <w:tabs>
          <w:tab w:val="clear" w:pos="4320"/>
          <w:tab w:val="clear" w:pos="8640"/>
        </w:tabs>
        <w:rPr>
          <w:i/>
          <w:iCs/>
          <w:snapToGrid/>
          <w:color w:val="000000"/>
        </w:rPr>
      </w:pPr>
    </w:p>
    <w:p w14:paraId="71C584BF"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The revised timeline that was discussed at the November 2001 meeting (attached below) will need to be further revised.</w:t>
      </w:r>
    </w:p>
    <w:p w14:paraId="418290AB"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WTSC Input:</w:t>
      </w:r>
    </w:p>
    <w:p w14:paraId="48F4BE92" w14:textId="77777777" w:rsidR="00070362" w:rsidRDefault="00070362" w:rsidP="00070362">
      <w:pPr>
        <w:pStyle w:val="Header"/>
        <w:numPr>
          <w:ilvl w:val="2"/>
          <w:numId w:val="1"/>
        </w:numPr>
        <w:tabs>
          <w:tab w:val="clear" w:pos="4320"/>
          <w:tab w:val="clear" w:pos="8640"/>
        </w:tabs>
        <w:rPr>
          <w:snapToGrid/>
          <w:color w:val="000000"/>
        </w:rPr>
      </w:pPr>
      <w:r>
        <w:rPr>
          <w:snapToGrid/>
          <w:color w:val="000000"/>
        </w:rPr>
        <w:t>At the December WTSC meeting there was reluctance by the team to agree upon a new testing timeline.</w:t>
      </w:r>
    </w:p>
    <w:p w14:paraId="703FC7B2" w14:textId="77777777" w:rsidR="00070362" w:rsidRDefault="00070362" w:rsidP="00070362">
      <w:pPr>
        <w:pStyle w:val="Header"/>
        <w:numPr>
          <w:ilvl w:val="2"/>
          <w:numId w:val="1"/>
        </w:numPr>
        <w:tabs>
          <w:tab w:val="clear" w:pos="4320"/>
          <w:tab w:val="clear" w:pos="8640"/>
        </w:tabs>
        <w:rPr>
          <w:snapToGrid/>
          <w:color w:val="000000"/>
        </w:rPr>
      </w:pPr>
      <w:r>
        <w:rPr>
          <w:snapToGrid/>
          <w:color w:val="000000"/>
        </w:rPr>
        <w:t>The WTSC has indicated that at least 6 weeks of testing will be required for each region and a new region should begin testing every three weeks (overlapping regions).</w:t>
      </w:r>
    </w:p>
    <w:p w14:paraId="59DCDDA4" w14:textId="77777777" w:rsidR="00070362" w:rsidRDefault="00070362" w:rsidP="00070362">
      <w:pPr>
        <w:pStyle w:val="Header"/>
        <w:numPr>
          <w:ilvl w:val="1"/>
          <w:numId w:val="1"/>
        </w:numPr>
        <w:tabs>
          <w:tab w:val="clear" w:pos="4320"/>
          <w:tab w:val="clear" w:pos="8640"/>
        </w:tabs>
        <w:rPr>
          <w:snapToGrid/>
          <w:color w:val="000000"/>
        </w:rPr>
      </w:pPr>
      <w:r>
        <w:rPr>
          <w:snapToGrid/>
          <w:color w:val="000000"/>
        </w:rPr>
        <w:t xml:space="preserve">One team member stated that they did not believe that inter-carrier testing would be needed for pooling.  Other team members disagreed.  The WTSC considered what would be required for number pooling inter-carrier testing (in isolation of porting testing).  The ICP testing would be eliminated, however the network testing would remain.  The WTSC does not feel that removing porting would change the testing dates for pooling.  </w:t>
      </w:r>
    </w:p>
    <w:p w14:paraId="092FBEAA" w14:textId="77777777" w:rsidR="00070362" w:rsidRDefault="00070362" w:rsidP="00070362">
      <w:pPr>
        <w:pStyle w:val="Header"/>
        <w:numPr>
          <w:ilvl w:val="1"/>
          <w:numId w:val="1"/>
        </w:numPr>
        <w:tabs>
          <w:tab w:val="clear" w:pos="4320"/>
          <w:tab w:val="clear" w:pos="8640"/>
        </w:tabs>
        <w:rPr>
          <w:snapToGrid/>
          <w:color w:val="000000"/>
        </w:rPr>
      </w:pPr>
      <w:r>
        <w:rPr>
          <w:b/>
          <w:bCs/>
          <w:snapToGrid/>
          <w:color w:val="000000"/>
          <w:highlight w:val="yellow"/>
          <w:u w:val="single"/>
        </w:rPr>
        <w:t>ACTION:</w:t>
      </w:r>
      <w:r>
        <w:rPr>
          <w:snapToGrid/>
          <w:color w:val="000000"/>
        </w:rPr>
        <w:t xml:space="preserve"> Jim Grasser and Brigitte Brown will further revise the implementation timeline for discussion at the January WNPO meeting.  There is no NANC meeting in December, so the timeline that will be discussed at the January WNPO meeting can also be presented at the January NANC meeting.</w:t>
      </w:r>
    </w:p>
    <w:p w14:paraId="07B22A52" w14:textId="77777777" w:rsidR="00070362" w:rsidRDefault="00070362">
      <w:pPr>
        <w:pStyle w:val="Header"/>
        <w:tabs>
          <w:tab w:val="clear" w:pos="4320"/>
          <w:tab w:val="clear" w:pos="8640"/>
        </w:tabs>
        <w:rPr>
          <w:snapToGrid/>
          <w:color w:val="000000"/>
        </w:rPr>
      </w:pPr>
    </w:p>
    <w:p w14:paraId="590E45DB" w14:textId="77777777" w:rsidR="00070362" w:rsidRDefault="00070362" w:rsidP="00070362">
      <w:pPr>
        <w:pStyle w:val="Header"/>
        <w:numPr>
          <w:ilvl w:val="0"/>
          <w:numId w:val="1"/>
        </w:numPr>
        <w:tabs>
          <w:tab w:val="clear" w:pos="4320"/>
          <w:tab w:val="clear" w:pos="8640"/>
        </w:tabs>
      </w:pPr>
      <w:r>
        <w:rPr>
          <w:i/>
          <w:iCs/>
          <w:snapToGrid/>
          <w:color w:val="000000"/>
        </w:rPr>
        <w:t>Wireline to Wireless Reseller Flows – Contribution from Anne Cummins</w:t>
      </w:r>
    </w:p>
    <w:p w14:paraId="139AD9FF" w14:textId="77777777" w:rsidR="00070362" w:rsidRDefault="00070362">
      <w:pPr>
        <w:pStyle w:val="Header"/>
        <w:tabs>
          <w:tab w:val="clear" w:pos="4320"/>
          <w:tab w:val="clear" w:pos="8640"/>
        </w:tabs>
      </w:pPr>
    </w:p>
    <w:p w14:paraId="36A9D3A5" w14:textId="77777777" w:rsidR="00070362" w:rsidRDefault="00070362">
      <w:pPr>
        <w:pStyle w:val="Header"/>
        <w:tabs>
          <w:tab w:val="clear" w:pos="4320"/>
          <w:tab w:val="clear" w:pos="8640"/>
        </w:tabs>
        <w:ind w:left="360"/>
      </w:pPr>
      <w:r>
        <w:rPr>
          <w:snapToGrid/>
        </w:rPr>
        <w:t xml:space="preserve">Team discussed the contribution from Anne Cummins proposing that the wireless reseller porting model (as approved by NANC) be used </w:t>
      </w:r>
      <w:r>
        <w:t>for ports between wireless and wireline resellers.  The contribution is attached below.  Below are some of the points made during the discussion and the action items that were identified:</w:t>
      </w:r>
    </w:p>
    <w:p w14:paraId="2C2929C6" w14:textId="77777777" w:rsidR="00070362" w:rsidRDefault="00070362">
      <w:pPr>
        <w:pStyle w:val="Header"/>
        <w:tabs>
          <w:tab w:val="clear" w:pos="4320"/>
          <w:tab w:val="clear" w:pos="8640"/>
        </w:tabs>
        <w:ind w:left="360"/>
        <w:rPr>
          <w:sz w:val="16"/>
        </w:rPr>
      </w:pPr>
    </w:p>
    <w:p w14:paraId="423459AF" w14:textId="77777777" w:rsidR="00070362" w:rsidRDefault="00070362" w:rsidP="00070362">
      <w:pPr>
        <w:pStyle w:val="Header"/>
        <w:numPr>
          <w:ilvl w:val="1"/>
          <w:numId w:val="1"/>
        </w:numPr>
        <w:tabs>
          <w:tab w:val="clear" w:pos="4320"/>
          <w:tab w:val="clear" w:pos="8640"/>
        </w:tabs>
        <w:rPr>
          <w:sz w:val="16"/>
        </w:rPr>
      </w:pPr>
      <w:r>
        <w:t>Background:</w:t>
      </w:r>
    </w:p>
    <w:p w14:paraId="6D6176B9" w14:textId="77777777" w:rsidR="00070362" w:rsidRDefault="00070362" w:rsidP="00070362">
      <w:pPr>
        <w:numPr>
          <w:ilvl w:val="2"/>
          <w:numId w:val="9"/>
        </w:numPr>
      </w:pPr>
      <w:r>
        <w:rPr>
          <w:color w:val="000000"/>
        </w:rPr>
        <w:lastRenderedPageBreak/>
        <w:t xml:space="preserve">On 08/07/01 the LNPA voted to accept the NNPO's proposed process flows comprised of only Option B (Network SP to Network SP flows) and recommend it as an industry standard for </w:t>
      </w:r>
      <w:proofErr w:type="gramStart"/>
      <w:r>
        <w:rPr>
          <w:color w:val="000000"/>
        </w:rPr>
        <w:t>wireline to wireline</w:t>
      </w:r>
      <w:proofErr w:type="gramEnd"/>
      <w:r>
        <w:rPr>
          <w:color w:val="000000"/>
        </w:rPr>
        <w:t xml:space="preserve"> reseller ports.</w:t>
      </w:r>
      <w:r>
        <w:rPr>
          <w:color w:val="000000"/>
          <w:sz w:val="16"/>
        </w:rPr>
        <w:t xml:space="preserve">  </w:t>
      </w:r>
    </w:p>
    <w:p w14:paraId="4F14837A" w14:textId="77777777" w:rsidR="00070362" w:rsidRDefault="00070362" w:rsidP="00070362">
      <w:pPr>
        <w:numPr>
          <w:ilvl w:val="2"/>
          <w:numId w:val="9"/>
        </w:numPr>
      </w:pPr>
      <w:r>
        <w:t xml:space="preserve">In September of 2000 the WNPSC sent the to the NANC </w:t>
      </w:r>
      <w:r>
        <w:rPr>
          <w:i/>
        </w:rPr>
        <w:t>the Wireless LNP Technical, Operational, and Implementation Requirement Document</w:t>
      </w:r>
      <w:r>
        <w:t xml:space="preserve"> for approval.  The NANC approved the report and sent it forward to the FCC.  In the report the wireless industry established the </w:t>
      </w:r>
      <w:proofErr w:type="gramStart"/>
      <w:r>
        <w:t>wireless to wireless</w:t>
      </w:r>
      <w:proofErr w:type="gramEnd"/>
      <w:r>
        <w:t xml:space="preserve"> reseller porting process.  In this process the reseller is responsible for the ICP/pre-port process and the new reseller tells the facilities-based provider to send a notification to the NPAC.</w:t>
      </w:r>
      <w:r>
        <w:rPr>
          <w:color w:val="000000"/>
        </w:rPr>
        <w:t xml:space="preserve">  Wireless resellers do not share any account information with the facilities based wireless provider.</w:t>
      </w:r>
    </w:p>
    <w:p w14:paraId="6104CB4A" w14:textId="77777777" w:rsidR="00070362" w:rsidRDefault="00070362" w:rsidP="00070362">
      <w:pPr>
        <w:numPr>
          <w:ilvl w:val="2"/>
          <w:numId w:val="9"/>
        </w:numPr>
      </w:pPr>
      <w:r>
        <w:t>The two flows are the exact opposite of each other - therefore porting process between wireline and wireless resellers must be determined.</w:t>
      </w:r>
    </w:p>
    <w:p w14:paraId="0FF7CC46" w14:textId="77777777" w:rsidR="00070362" w:rsidRDefault="00070362">
      <w:pPr>
        <w:ind w:left="720"/>
      </w:pPr>
    </w:p>
    <w:p w14:paraId="30644C9B" w14:textId="77777777" w:rsidR="00070362" w:rsidRDefault="00070362" w:rsidP="00070362">
      <w:pPr>
        <w:numPr>
          <w:ilvl w:val="1"/>
          <w:numId w:val="9"/>
        </w:numPr>
      </w:pPr>
      <w:r>
        <w:t xml:space="preserve">Anne </w:t>
      </w:r>
      <w:proofErr w:type="spellStart"/>
      <w:r>
        <w:t>Cummin’s</w:t>
      </w:r>
      <w:proofErr w:type="spellEnd"/>
      <w:r>
        <w:t xml:space="preserve"> Recommendation:</w:t>
      </w:r>
    </w:p>
    <w:p w14:paraId="12DBB279" w14:textId="77777777" w:rsidR="00070362" w:rsidRDefault="00070362" w:rsidP="00070362">
      <w:pPr>
        <w:numPr>
          <w:ilvl w:val="2"/>
          <w:numId w:val="9"/>
        </w:numPr>
      </w:pPr>
      <w:r>
        <w:t xml:space="preserve">Wireless </w:t>
      </w:r>
      <w:proofErr w:type="gramStart"/>
      <w:r>
        <w:t>facility based</w:t>
      </w:r>
      <w:proofErr w:type="gramEnd"/>
      <w:r>
        <w:t xml:space="preserve"> service providers cannot send the LSR/WPR forward to the old facility based service provider because the reseller's subscriber account information is considered by the reseller to be proprietary.  As a </w:t>
      </w:r>
      <w:proofErr w:type="gramStart"/>
      <w:r>
        <w:t>consequence</w:t>
      </w:r>
      <w:proofErr w:type="gramEnd"/>
      <w:r>
        <w:t xml:space="preserve"> the information is never shared with the facility based service provider.  </w:t>
      </w:r>
    </w:p>
    <w:p w14:paraId="115A8F78" w14:textId="77777777" w:rsidR="00070362" w:rsidRDefault="00070362" w:rsidP="00070362">
      <w:pPr>
        <w:numPr>
          <w:ilvl w:val="2"/>
          <w:numId w:val="9"/>
        </w:numPr>
        <w:rPr>
          <w:color w:val="000000"/>
        </w:rPr>
      </w:pPr>
      <w:r>
        <w:t>Since the LSR/WPR purpose is to validate account information the reseller must have the capability of sending the LSR/WPR and receiving the FOC/WPR. Without this capability their customers would not be able to port.</w:t>
      </w:r>
    </w:p>
    <w:p w14:paraId="5A3EBB52" w14:textId="77777777" w:rsidR="00070362" w:rsidRDefault="00070362" w:rsidP="00070362">
      <w:pPr>
        <w:numPr>
          <w:ilvl w:val="2"/>
          <w:numId w:val="9"/>
        </w:numPr>
        <w:rPr>
          <w:color w:val="000000"/>
        </w:rPr>
      </w:pPr>
      <w:r>
        <w:t>Recommendation:  For ports between wireless and wireline resellers use the wireless reseller porting model.</w:t>
      </w:r>
    </w:p>
    <w:p w14:paraId="33A512A1" w14:textId="77777777" w:rsidR="00070362" w:rsidRDefault="00070362">
      <w:pPr>
        <w:ind w:left="720"/>
        <w:rPr>
          <w:color w:val="000000"/>
        </w:rPr>
      </w:pPr>
    </w:p>
    <w:p w14:paraId="5EC87C29" w14:textId="77777777" w:rsidR="00070362" w:rsidRDefault="00070362" w:rsidP="00070362">
      <w:pPr>
        <w:numPr>
          <w:ilvl w:val="1"/>
          <w:numId w:val="9"/>
        </w:numPr>
        <w:rPr>
          <w:color w:val="000000"/>
        </w:rPr>
      </w:pPr>
      <w:r>
        <w:t xml:space="preserve">One SP suggested that the wireless-to-wireless reseller flows be changed, however, it was determined that modifications to that process should not be entertained at this time as they were previously defined by the WNPSC in May 2000 and approved by NANC in September 2000.  That SP was represented at the NANC meetings where the process was discussed and approved.  </w:t>
      </w:r>
      <w:proofErr w:type="gramStart"/>
      <w:r>
        <w:t>So</w:t>
      </w:r>
      <w:proofErr w:type="gramEnd"/>
      <w:r>
        <w:t xml:space="preserve"> the focus is now on the wireline to wireless reseller flows and not the wireless to wireless flows.</w:t>
      </w:r>
    </w:p>
    <w:p w14:paraId="4C500A49" w14:textId="77777777" w:rsidR="00070362" w:rsidRDefault="00070362">
      <w:pPr>
        <w:rPr>
          <w:color w:val="000000"/>
        </w:rPr>
      </w:pPr>
    </w:p>
    <w:p w14:paraId="35A760BF" w14:textId="77777777" w:rsidR="00070362" w:rsidRDefault="00070362" w:rsidP="00070362">
      <w:pPr>
        <w:numPr>
          <w:ilvl w:val="1"/>
          <w:numId w:val="9"/>
        </w:numPr>
      </w:pPr>
      <w:r>
        <w:t>WorldCom and Sprint indicated their desire to use the wireline reseller flows for the wireline to wireless reseller flows.</w:t>
      </w:r>
    </w:p>
    <w:p w14:paraId="71374B23" w14:textId="77777777" w:rsidR="00070362" w:rsidRDefault="00070362"/>
    <w:p w14:paraId="714A700E" w14:textId="77777777" w:rsidR="00070362" w:rsidRDefault="00070362" w:rsidP="00070362">
      <w:pPr>
        <w:numPr>
          <w:ilvl w:val="1"/>
          <w:numId w:val="9"/>
        </w:numPr>
        <w:rPr>
          <w:color w:val="000000"/>
        </w:rPr>
      </w:pPr>
      <w:r>
        <w:t xml:space="preserve">There are two types of reseller ports: a) one reseller can port </w:t>
      </w:r>
      <w:proofErr w:type="gramStart"/>
      <w:r>
        <w:t>all of</w:t>
      </w:r>
      <w:proofErr w:type="gramEnd"/>
      <w:r>
        <w:t xml:space="preserve"> their numbers to another facilities-based provider, or b) one customer of the reseller wants to port to another provider.</w:t>
      </w:r>
    </w:p>
    <w:p w14:paraId="4FB9AA1E" w14:textId="77777777" w:rsidR="00070362" w:rsidRDefault="00070362">
      <w:pPr>
        <w:rPr>
          <w:color w:val="000000"/>
        </w:rPr>
      </w:pPr>
    </w:p>
    <w:p w14:paraId="20C0236E" w14:textId="77777777" w:rsidR="00070362" w:rsidRDefault="00070362" w:rsidP="00070362">
      <w:pPr>
        <w:numPr>
          <w:ilvl w:val="1"/>
          <w:numId w:val="9"/>
        </w:numPr>
        <w:rPr>
          <w:rFonts w:cs="Arial"/>
          <w:color w:val="000000"/>
          <w:sz w:val="18"/>
        </w:rPr>
      </w:pPr>
      <w:r>
        <w:t xml:space="preserve">Charles </w:t>
      </w:r>
      <w:proofErr w:type="spellStart"/>
      <w:r>
        <w:t>Ryburn</w:t>
      </w:r>
      <w:proofErr w:type="spellEnd"/>
      <w:r>
        <w:t xml:space="preserve"> suggested that this issue get </w:t>
      </w:r>
      <w:proofErr w:type="gramStart"/>
      <w:r>
        <w:t>opened up</w:t>
      </w:r>
      <w:proofErr w:type="gramEnd"/>
      <w:r>
        <w:t xml:space="preserve"> as a PIM at the LNPA WG.   </w:t>
      </w:r>
    </w:p>
    <w:p w14:paraId="061C0756" w14:textId="77777777" w:rsidR="00070362" w:rsidRDefault="00070362">
      <w:pPr>
        <w:rPr>
          <w:rFonts w:cs="Arial"/>
          <w:color w:val="000000"/>
          <w:sz w:val="18"/>
        </w:rPr>
      </w:pPr>
    </w:p>
    <w:p w14:paraId="7C520F95" w14:textId="77777777" w:rsidR="00070362" w:rsidRDefault="00070362" w:rsidP="00070362">
      <w:pPr>
        <w:numPr>
          <w:ilvl w:val="1"/>
          <w:numId w:val="9"/>
        </w:numPr>
        <w:rPr>
          <w:rFonts w:cs="Arial"/>
          <w:color w:val="000000"/>
        </w:rPr>
      </w:pPr>
      <w:r>
        <w:rPr>
          <w:rFonts w:cs="Arial"/>
          <w:b/>
          <w:bCs/>
          <w:highlight w:val="yellow"/>
          <w:u w:val="single"/>
        </w:rPr>
        <w:t>ACTION:</w:t>
      </w:r>
      <w:r>
        <w:rPr>
          <w:rFonts w:cs="Arial"/>
        </w:rPr>
        <w:t xml:space="preserve"> Open a PIM at the LNPA WG</w:t>
      </w:r>
      <w:r>
        <w:rPr>
          <w:rFonts w:cs="Arial"/>
          <w:color w:val="000000"/>
        </w:rPr>
        <w:t xml:space="preserve"> on updating the NANC flows and narratives to a) add flows for wireless resellers and b) review the narratives for existing flows to ensure they are compatible with wireless business models</w:t>
      </w:r>
      <w:r>
        <w:rPr>
          <w:rFonts w:cs="Arial"/>
        </w:rPr>
        <w:t xml:space="preserve">. (Jim Grasser)  </w:t>
      </w:r>
    </w:p>
    <w:p w14:paraId="732CC0CF" w14:textId="77777777" w:rsidR="00070362" w:rsidRDefault="00070362">
      <w:pPr>
        <w:rPr>
          <w:rFonts w:cs="Arial"/>
          <w:color w:val="000000"/>
        </w:rPr>
      </w:pPr>
    </w:p>
    <w:p w14:paraId="16EDC4CE" w14:textId="77777777" w:rsidR="00070362" w:rsidRDefault="00070362" w:rsidP="00070362">
      <w:pPr>
        <w:numPr>
          <w:ilvl w:val="1"/>
          <w:numId w:val="9"/>
        </w:numPr>
        <w:rPr>
          <w:color w:val="000000"/>
        </w:rPr>
      </w:pPr>
      <w:r>
        <w:rPr>
          <w:rFonts w:cs="Arial"/>
          <w:b/>
          <w:bCs/>
          <w:color w:val="000000"/>
          <w:highlight w:val="yellow"/>
          <w:u w:val="single"/>
        </w:rPr>
        <w:t>ACTION:</w:t>
      </w:r>
      <w:r>
        <w:rPr>
          <w:rFonts w:cs="Arial"/>
          <w:color w:val="000000"/>
        </w:rPr>
        <w:t xml:space="preserve"> WNPO to work on updating the NANC flows and narratives to a) add flows for wireless resellers and b) review the narratives for existing flows to ensure they are compatible with wireless business models and then forward it to the LNPA WG.</w:t>
      </w:r>
    </w:p>
    <w:p w14:paraId="3AA3D333" w14:textId="77777777" w:rsidR="00070362" w:rsidRDefault="00070362">
      <w:pPr>
        <w:pStyle w:val="Header"/>
        <w:tabs>
          <w:tab w:val="clear" w:pos="4320"/>
          <w:tab w:val="clear" w:pos="8640"/>
        </w:tabs>
        <w:rPr>
          <w:snapToGrid/>
          <w:color w:val="000000"/>
        </w:rPr>
      </w:pPr>
    </w:p>
    <w:p w14:paraId="39EA267E" w14:textId="77777777" w:rsidR="00070362" w:rsidRDefault="00070362">
      <w:pPr>
        <w:pStyle w:val="Header"/>
        <w:tabs>
          <w:tab w:val="clear" w:pos="4320"/>
          <w:tab w:val="clear" w:pos="8640"/>
        </w:tabs>
        <w:rPr>
          <w:snapToGrid/>
          <w:color w:val="000000"/>
        </w:rPr>
      </w:pPr>
    </w:p>
    <w:p w14:paraId="66D376E1" w14:textId="77777777" w:rsidR="00070362" w:rsidRDefault="00357E4A">
      <w:pPr>
        <w:pStyle w:val="Header"/>
        <w:tabs>
          <w:tab w:val="clear" w:pos="4320"/>
          <w:tab w:val="clear" w:pos="8640"/>
        </w:tabs>
        <w:rPr>
          <w:b/>
          <w:bCs/>
          <w:snapToGrid/>
          <w:color w:val="FF0000"/>
        </w:rPr>
      </w:pPr>
      <w:r>
        <w:rPr>
          <w:noProof/>
          <w:snapToGrid/>
          <w:color w:val="000000"/>
        </w:rPr>
        <w:object w:dxaOrig="1440" w:dyaOrig="1440" w14:anchorId="7A293019">
          <v:shape id="_x0000_s2086" type="#_x0000_t75" style="position:absolute;margin-left:0;margin-top:0;width:83.8pt;height:54.15pt;z-index:251660800">
            <v:imagedata r:id="rId11" o:title=""/>
            <w10:wrap type="topAndBottom"/>
          </v:shape>
          <o:OLEObject Type="Embed" ProgID="Word.Document.8" ShapeID="_x0000_s2086" DrawAspect="Icon" ObjectID="_1734525860" r:id="rId12">
            <o:FieldCodes>\s</o:FieldCodes>
          </o:OLEObject>
        </w:object>
      </w:r>
    </w:p>
    <w:p w14:paraId="59847E0A" w14:textId="77777777" w:rsidR="00070362" w:rsidRDefault="00070362">
      <w:pPr>
        <w:pStyle w:val="Header"/>
        <w:tabs>
          <w:tab w:val="clear" w:pos="4320"/>
          <w:tab w:val="clear" w:pos="8640"/>
        </w:tabs>
        <w:rPr>
          <w:b/>
          <w:bCs/>
          <w:snapToGrid/>
          <w:color w:val="FF0000"/>
        </w:rPr>
      </w:pPr>
    </w:p>
    <w:p w14:paraId="4AE4197A"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 xml:space="preserve">Update from </w:t>
      </w:r>
      <w:proofErr w:type="spellStart"/>
      <w:r>
        <w:rPr>
          <w:snapToGrid/>
          <w:color w:val="000000"/>
          <w:sz w:val="24"/>
          <w:u w:val="single"/>
        </w:rPr>
        <w:t>NeuStar</w:t>
      </w:r>
      <w:proofErr w:type="spellEnd"/>
      <w:r>
        <w:rPr>
          <w:snapToGrid/>
          <w:color w:val="000000"/>
          <w:sz w:val="24"/>
          <w:u w:val="single"/>
        </w:rPr>
        <w:t>:</w:t>
      </w:r>
    </w:p>
    <w:p w14:paraId="2BB240FA" w14:textId="77777777" w:rsidR="00070362" w:rsidRDefault="00070362">
      <w:pPr>
        <w:pStyle w:val="Header"/>
        <w:tabs>
          <w:tab w:val="clear" w:pos="4320"/>
          <w:tab w:val="clear" w:pos="8640"/>
        </w:tabs>
        <w:rPr>
          <w:snapToGrid/>
          <w:color w:val="000000"/>
        </w:rPr>
      </w:pPr>
    </w:p>
    <w:p w14:paraId="7073809F" w14:textId="77777777" w:rsidR="00070362" w:rsidRDefault="00070362" w:rsidP="00070362">
      <w:pPr>
        <w:pStyle w:val="Header"/>
        <w:numPr>
          <w:ilvl w:val="0"/>
          <w:numId w:val="2"/>
        </w:numPr>
        <w:tabs>
          <w:tab w:val="clear" w:pos="4320"/>
          <w:tab w:val="clear" w:pos="8640"/>
        </w:tabs>
        <w:rPr>
          <w:snapToGrid/>
          <w:color w:val="000000"/>
        </w:rPr>
      </w:pPr>
      <w:r>
        <w:rPr>
          <w:snapToGrid/>
          <w:color w:val="000000"/>
        </w:rPr>
        <w:t xml:space="preserve">Three SPs have completed their turn up testing (Cingular, </w:t>
      </w:r>
      <w:proofErr w:type="spellStart"/>
      <w:r>
        <w:rPr>
          <w:snapToGrid/>
          <w:color w:val="000000"/>
        </w:rPr>
        <w:t>Illuminet</w:t>
      </w:r>
      <w:proofErr w:type="spellEnd"/>
      <w:r>
        <w:rPr>
          <w:snapToGrid/>
          <w:color w:val="000000"/>
        </w:rPr>
        <w:t xml:space="preserve">, and Sprint).  Six more have submitted requests to </w:t>
      </w:r>
      <w:proofErr w:type="spellStart"/>
      <w:r>
        <w:rPr>
          <w:snapToGrid/>
          <w:color w:val="000000"/>
        </w:rPr>
        <w:t>NeuStar</w:t>
      </w:r>
      <w:proofErr w:type="spellEnd"/>
      <w:r>
        <w:rPr>
          <w:snapToGrid/>
          <w:color w:val="000000"/>
        </w:rPr>
        <w:t xml:space="preserve"> for the </w:t>
      </w:r>
      <w:proofErr w:type="gramStart"/>
      <w:r>
        <w:rPr>
          <w:snapToGrid/>
          <w:color w:val="000000"/>
        </w:rPr>
        <w:t>testing, but</w:t>
      </w:r>
      <w:proofErr w:type="gramEnd"/>
      <w:r>
        <w:rPr>
          <w:snapToGrid/>
          <w:color w:val="000000"/>
        </w:rPr>
        <w:t xml:space="preserve"> have not provided dates yet.</w:t>
      </w:r>
    </w:p>
    <w:p w14:paraId="1A1A50BF" w14:textId="77777777" w:rsidR="00070362" w:rsidRDefault="00070362" w:rsidP="00070362">
      <w:pPr>
        <w:pStyle w:val="Header"/>
        <w:numPr>
          <w:ilvl w:val="0"/>
          <w:numId w:val="2"/>
        </w:numPr>
        <w:tabs>
          <w:tab w:val="clear" w:pos="4320"/>
          <w:tab w:val="clear" w:pos="8640"/>
        </w:tabs>
        <w:rPr>
          <w:snapToGrid/>
          <w:color w:val="000000"/>
        </w:rPr>
      </w:pPr>
      <w:r>
        <w:rPr>
          <w:b/>
          <w:bCs/>
          <w:snapToGrid/>
          <w:color w:val="000000"/>
          <w:highlight w:val="yellow"/>
          <w:u w:val="single"/>
        </w:rPr>
        <w:t>ACTION:</w:t>
      </w:r>
      <w:r>
        <w:rPr>
          <w:snapToGrid/>
          <w:color w:val="000000"/>
        </w:rPr>
        <w:t xml:space="preserve">  Team member asked that </w:t>
      </w:r>
      <w:proofErr w:type="spellStart"/>
      <w:r>
        <w:rPr>
          <w:snapToGrid/>
          <w:color w:val="000000"/>
        </w:rPr>
        <w:t>NeuStar</w:t>
      </w:r>
      <w:proofErr w:type="spellEnd"/>
      <w:r>
        <w:rPr>
          <w:snapToGrid/>
          <w:color w:val="000000"/>
        </w:rPr>
        <w:t xml:space="preserve"> </w:t>
      </w:r>
      <w:proofErr w:type="gramStart"/>
      <w:r>
        <w:rPr>
          <w:snapToGrid/>
          <w:color w:val="000000"/>
        </w:rPr>
        <w:t>look into</w:t>
      </w:r>
      <w:proofErr w:type="gramEnd"/>
      <w:r>
        <w:rPr>
          <w:snapToGrid/>
          <w:color w:val="000000"/>
        </w:rPr>
        <w:t xml:space="preserve"> how many providers requested a test date that </w:t>
      </w:r>
      <w:proofErr w:type="spellStart"/>
      <w:r>
        <w:rPr>
          <w:snapToGrid/>
          <w:color w:val="000000"/>
        </w:rPr>
        <w:t>NeuStar</w:t>
      </w:r>
      <w:proofErr w:type="spellEnd"/>
      <w:r>
        <w:rPr>
          <w:snapToGrid/>
          <w:color w:val="000000"/>
        </w:rPr>
        <w:t xml:space="preserve"> could not support due to release 3.1 activities. (Gene Johnston)  </w:t>
      </w:r>
    </w:p>
    <w:p w14:paraId="7E9861F6" w14:textId="77777777" w:rsidR="00070362" w:rsidRDefault="00070362" w:rsidP="00070362">
      <w:pPr>
        <w:pStyle w:val="Header"/>
        <w:numPr>
          <w:ilvl w:val="0"/>
          <w:numId w:val="2"/>
        </w:numPr>
        <w:tabs>
          <w:tab w:val="clear" w:pos="4320"/>
          <w:tab w:val="clear" w:pos="8640"/>
        </w:tabs>
        <w:rPr>
          <w:snapToGrid/>
          <w:color w:val="000000"/>
        </w:rPr>
      </w:pPr>
      <w:r>
        <w:rPr>
          <w:b/>
          <w:bCs/>
          <w:snapToGrid/>
          <w:color w:val="000000"/>
          <w:highlight w:val="yellow"/>
          <w:u w:val="single"/>
        </w:rPr>
        <w:lastRenderedPageBreak/>
        <w:t>ACTION:</w:t>
      </w:r>
      <w:r>
        <w:rPr>
          <w:snapToGrid/>
          <w:color w:val="000000"/>
        </w:rPr>
        <w:t xml:space="preserve">  </w:t>
      </w:r>
      <w:proofErr w:type="spellStart"/>
      <w:r>
        <w:rPr>
          <w:snapToGrid/>
          <w:color w:val="000000"/>
        </w:rPr>
        <w:t>NeuStar</w:t>
      </w:r>
      <w:proofErr w:type="spellEnd"/>
      <w:r>
        <w:rPr>
          <w:snapToGrid/>
          <w:color w:val="000000"/>
        </w:rPr>
        <w:t xml:space="preserve"> to provide the number of SPs who have established a profile with </w:t>
      </w:r>
      <w:proofErr w:type="spellStart"/>
      <w:r>
        <w:rPr>
          <w:snapToGrid/>
          <w:color w:val="000000"/>
        </w:rPr>
        <w:t>NeuStar</w:t>
      </w:r>
      <w:proofErr w:type="spellEnd"/>
      <w:r>
        <w:rPr>
          <w:snapToGrid/>
          <w:color w:val="000000"/>
        </w:rPr>
        <w:t>. (Gene Johnston)</w:t>
      </w:r>
    </w:p>
    <w:p w14:paraId="36F30B83" w14:textId="77777777" w:rsidR="00070362" w:rsidRDefault="00070362" w:rsidP="00070362">
      <w:pPr>
        <w:pStyle w:val="Header"/>
        <w:numPr>
          <w:ilvl w:val="0"/>
          <w:numId w:val="2"/>
        </w:numPr>
        <w:tabs>
          <w:tab w:val="clear" w:pos="4320"/>
          <w:tab w:val="clear" w:pos="8640"/>
        </w:tabs>
        <w:rPr>
          <w:snapToGrid/>
          <w:color w:val="000000"/>
        </w:rPr>
      </w:pPr>
      <w:r>
        <w:rPr>
          <w:snapToGrid/>
          <w:color w:val="000000"/>
        </w:rPr>
        <w:t>Release 3.1:</w:t>
      </w:r>
    </w:p>
    <w:p w14:paraId="250D5EDB" w14:textId="77777777" w:rsidR="00070362" w:rsidRDefault="00070362" w:rsidP="00070362">
      <w:pPr>
        <w:pStyle w:val="Header"/>
        <w:numPr>
          <w:ilvl w:val="1"/>
          <w:numId w:val="2"/>
        </w:numPr>
        <w:tabs>
          <w:tab w:val="clear" w:pos="4320"/>
          <w:tab w:val="clear" w:pos="8640"/>
        </w:tabs>
        <w:rPr>
          <w:snapToGrid/>
          <w:color w:val="000000"/>
        </w:rPr>
      </w:pPr>
      <w:r>
        <w:rPr>
          <w:snapToGrid/>
          <w:color w:val="000000"/>
        </w:rPr>
        <w:t>Two LSMS providers have completed testing.</w:t>
      </w:r>
    </w:p>
    <w:p w14:paraId="0CFCCF3A" w14:textId="77777777" w:rsidR="00070362" w:rsidRDefault="00070362" w:rsidP="00070362">
      <w:pPr>
        <w:pStyle w:val="Header"/>
        <w:numPr>
          <w:ilvl w:val="1"/>
          <w:numId w:val="2"/>
        </w:numPr>
        <w:tabs>
          <w:tab w:val="clear" w:pos="4320"/>
          <w:tab w:val="clear" w:pos="8640"/>
        </w:tabs>
        <w:rPr>
          <w:snapToGrid/>
          <w:color w:val="000000"/>
        </w:rPr>
      </w:pPr>
      <w:r>
        <w:rPr>
          <w:snapToGrid/>
          <w:color w:val="000000"/>
        </w:rPr>
        <w:t>Ten providers are scheduled to test.</w:t>
      </w:r>
    </w:p>
    <w:p w14:paraId="59A6AB7A" w14:textId="77777777" w:rsidR="00070362" w:rsidRDefault="00070362" w:rsidP="00070362">
      <w:pPr>
        <w:pStyle w:val="Header"/>
        <w:numPr>
          <w:ilvl w:val="1"/>
          <w:numId w:val="2"/>
        </w:numPr>
        <w:tabs>
          <w:tab w:val="clear" w:pos="4320"/>
          <w:tab w:val="clear" w:pos="8640"/>
        </w:tabs>
        <w:rPr>
          <w:snapToGrid/>
          <w:color w:val="000000"/>
        </w:rPr>
      </w:pPr>
      <w:r>
        <w:rPr>
          <w:snapToGrid/>
          <w:color w:val="000000"/>
        </w:rPr>
        <w:t>Seven have not registered yet.</w:t>
      </w:r>
    </w:p>
    <w:p w14:paraId="6A0D4521" w14:textId="77777777" w:rsidR="00070362" w:rsidRDefault="00070362" w:rsidP="00070362">
      <w:pPr>
        <w:pStyle w:val="Header"/>
        <w:numPr>
          <w:ilvl w:val="1"/>
          <w:numId w:val="2"/>
        </w:numPr>
        <w:tabs>
          <w:tab w:val="clear" w:pos="4320"/>
          <w:tab w:val="clear" w:pos="8640"/>
        </w:tabs>
        <w:rPr>
          <w:snapToGrid/>
          <w:color w:val="000000"/>
        </w:rPr>
      </w:pPr>
      <w:r>
        <w:rPr>
          <w:snapToGrid/>
          <w:color w:val="000000"/>
        </w:rPr>
        <w:t xml:space="preserve">There </w:t>
      </w:r>
      <w:proofErr w:type="gramStart"/>
      <w:r>
        <w:rPr>
          <w:snapToGrid/>
          <w:color w:val="000000"/>
        </w:rPr>
        <w:t>are</w:t>
      </w:r>
      <w:proofErr w:type="gramEnd"/>
      <w:r>
        <w:rPr>
          <w:snapToGrid/>
          <w:color w:val="000000"/>
        </w:rPr>
        <w:t xml:space="preserve"> a total of 19 that need to test in the Northeast region.</w:t>
      </w:r>
    </w:p>
    <w:p w14:paraId="1A21ECB7" w14:textId="77777777" w:rsidR="00070362" w:rsidRDefault="00070362" w:rsidP="00070362">
      <w:pPr>
        <w:pStyle w:val="Header"/>
        <w:numPr>
          <w:ilvl w:val="0"/>
          <w:numId w:val="2"/>
        </w:numPr>
        <w:tabs>
          <w:tab w:val="clear" w:pos="4320"/>
          <w:tab w:val="clear" w:pos="8640"/>
        </w:tabs>
        <w:rPr>
          <w:snapToGrid/>
          <w:color w:val="000000"/>
        </w:rPr>
      </w:pPr>
      <w:proofErr w:type="spellStart"/>
      <w:r>
        <w:rPr>
          <w:snapToGrid/>
          <w:color w:val="000000"/>
        </w:rPr>
        <w:t>NeuStar</w:t>
      </w:r>
      <w:proofErr w:type="spellEnd"/>
      <w:r>
        <w:rPr>
          <w:snapToGrid/>
          <w:color w:val="000000"/>
        </w:rPr>
        <w:t xml:space="preserve"> confirmed with the FCC that there are 102 MSAs in the pooling rollout (the original 100 specified for porting, plus two additional ones).   </w:t>
      </w:r>
      <w:r>
        <w:rPr>
          <w:b/>
          <w:bCs/>
          <w:snapToGrid/>
          <w:color w:val="000000"/>
          <w:highlight w:val="yellow"/>
          <w:u w:val="single"/>
        </w:rPr>
        <w:t>ACTION:</w:t>
      </w:r>
      <w:r>
        <w:rPr>
          <w:snapToGrid/>
          <w:color w:val="000000"/>
        </w:rPr>
        <w:t xml:space="preserve">  Gene Johnston will provide the additional two MSAs required for pooling and Jim Grasser will distribute the information to the team.</w:t>
      </w:r>
    </w:p>
    <w:p w14:paraId="2282E746" w14:textId="77777777" w:rsidR="00070362" w:rsidRDefault="00070362" w:rsidP="00070362">
      <w:pPr>
        <w:pStyle w:val="Header"/>
        <w:numPr>
          <w:ilvl w:val="0"/>
          <w:numId w:val="2"/>
        </w:numPr>
        <w:tabs>
          <w:tab w:val="clear" w:pos="4320"/>
          <w:tab w:val="clear" w:pos="8640"/>
        </w:tabs>
        <w:rPr>
          <w:snapToGrid/>
          <w:color w:val="000000"/>
        </w:rPr>
      </w:pPr>
      <w:r>
        <w:rPr>
          <w:snapToGrid/>
          <w:color w:val="000000"/>
        </w:rPr>
        <w:t xml:space="preserve">Gustavo </w:t>
      </w:r>
      <w:proofErr w:type="spellStart"/>
      <w:r>
        <w:rPr>
          <w:snapToGrid/>
          <w:color w:val="000000"/>
        </w:rPr>
        <w:t>Hannecke</w:t>
      </w:r>
      <w:proofErr w:type="spellEnd"/>
      <w:r>
        <w:rPr>
          <w:snapToGrid/>
          <w:color w:val="000000"/>
        </w:rPr>
        <w:t xml:space="preserve"> is no longer with </w:t>
      </w:r>
      <w:proofErr w:type="spellStart"/>
      <w:r>
        <w:rPr>
          <w:snapToGrid/>
          <w:color w:val="000000"/>
        </w:rPr>
        <w:t>NeuStar</w:t>
      </w:r>
      <w:proofErr w:type="spellEnd"/>
      <w:r>
        <w:rPr>
          <w:snapToGrid/>
          <w:color w:val="000000"/>
        </w:rPr>
        <w:t xml:space="preserve">.  </w:t>
      </w:r>
    </w:p>
    <w:p w14:paraId="12EF2427" w14:textId="77777777" w:rsidR="00070362" w:rsidRDefault="00070362">
      <w:pPr>
        <w:pStyle w:val="Header"/>
        <w:tabs>
          <w:tab w:val="clear" w:pos="4320"/>
          <w:tab w:val="clear" w:pos="8640"/>
        </w:tabs>
        <w:rPr>
          <w:snapToGrid/>
          <w:color w:val="000000"/>
        </w:rPr>
      </w:pPr>
    </w:p>
    <w:p w14:paraId="7B4A96B9" w14:textId="77777777" w:rsidR="00070362" w:rsidRDefault="00070362">
      <w:pPr>
        <w:pStyle w:val="Header"/>
        <w:tabs>
          <w:tab w:val="clear" w:pos="4320"/>
          <w:tab w:val="clear" w:pos="8640"/>
        </w:tabs>
        <w:rPr>
          <w:snapToGrid/>
          <w:color w:val="000000"/>
        </w:rPr>
      </w:pPr>
    </w:p>
    <w:p w14:paraId="77853E00" w14:textId="77777777" w:rsidR="00070362" w:rsidRDefault="00070362">
      <w:pPr>
        <w:pStyle w:val="Header"/>
        <w:tabs>
          <w:tab w:val="clear" w:pos="4320"/>
          <w:tab w:val="clear" w:pos="8640"/>
        </w:tabs>
        <w:rPr>
          <w:snapToGrid/>
          <w:color w:val="000000"/>
        </w:rPr>
      </w:pPr>
    </w:p>
    <w:p w14:paraId="4DA87D83"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Wireless Testing Subcommittee (WTSC) Update:</w:t>
      </w:r>
    </w:p>
    <w:p w14:paraId="53E3D9A3" w14:textId="77777777" w:rsidR="00070362" w:rsidRDefault="00070362">
      <w:pPr>
        <w:pStyle w:val="Header"/>
        <w:tabs>
          <w:tab w:val="clear" w:pos="4320"/>
          <w:tab w:val="clear" w:pos="8640"/>
        </w:tabs>
        <w:rPr>
          <w:snapToGrid/>
          <w:color w:val="000000"/>
        </w:rPr>
      </w:pPr>
    </w:p>
    <w:p w14:paraId="67213441"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 xml:space="preserve">At the December WTSC meeting, many carriers indicated they would not be ready for inter-carrier testing in April 2002.  The WTSC is asking carriers to submit test markets and dates to be complied into a matrix.  </w:t>
      </w:r>
      <w:proofErr w:type="gramStart"/>
      <w:r>
        <w:rPr>
          <w:snapToGrid/>
          <w:color w:val="000000"/>
        </w:rPr>
        <w:t>It appears as though</w:t>
      </w:r>
      <w:proofErr w:type="gramEnd"/>
      <w:r>
        <w:rPr>
          <w:snapToGrid/>
          <w:color w:val="000000"/>
        </w:rPr>
        <w:t xml:space="preserve"> testing will not be as structured as originally anticipated.  Carriers are going to submit markets for testing on a case-by-case basis.  </w:t>
      </w:r>
    </w:p>
    <w:p w14:paraId="7FDE8CFB"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One wireline carrier stated that it needs to know what testing the WTSC is planning and stated that if the testing is done sporadically, it will be much more difficult to coordinate.  The WNPO questioned whether the WTSC participants understand that wireline will need a testing schedule to ensure they can participate.  The WTSC indicated that it would like to have a schedule, but participants are now becoming hesitant to agree and commit to dates.  The WTSC raised this issue up to the WNPO.  The WNPO requested for the WTSC to provide the latest testing start date that is being communicated at the WTSC.</w:t>
      </w:r>
    </w:p>
    <w:p w14:paraId="17D3848E"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 xml:space="preserve">On an </w:t>
      </w:r>
      <w:proofErr w:type="gramStart"/>
      <w:r>
        <w:rPr>
          <w:snapToGrid/>
          <w:color w:val="000000"/>
        </w:rPr>
        <w:t>MSA by MSA</w:t>
      </w:r>
      <w:proofErr w:type="gramEnd"/>
      <w:r>
        <w:rPr>
          <w:snapToGrid/>
          <w:color w:val="000000"/>
        </w:rPr>
        <w:t xml:space="preserve"> basis, inter-species testing will begin after wireless-to-wireless testing is conducted.</w:t>
      </w:r>
    </w:p>
    <w:p w14:paraId="2890E95E"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Some carriers indicated to the WTSC that they may possibly begin ICP testing in January, however no definite dates were provided.</w:t>
      </w:r>
    </w:p>
    <w:p w14:paraId="5A559450"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 xml:space="preserve">The WNPO asked whether there is a mechanism for updating test schedules once dates are provided.  The WTSC plans to develop a matrix to capture each carrier’s test schedule.  </w:t>
      </w:r>
    </w:p>
    <w:p w14:paraId="2027A0C0"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 xml:space="preserve">The WTSC considered what would be required for number pooling inter-carrier testing (in isolation of porting testing).  The ICP testing would be eliminated, however the network testing would remain.  </w:t>
      </w:r>
      <w:proofErr w:type="gramStart"/>
      <w:r>
        <w:rPr>
          <w:snapToGrid/>
          <w:color w:val="000000"/>
        </w:rPr>
        <w:t>Therefore</w:t>
      </w:r>
      <w:proofErr w:type="gramEnd"/>
      <w:r>
        <w:rPr>
          <w:snapToGrid/>
          <w:color w:val="000000"/>
        </w:rPr>
        <w:t xml:space="preserve"> the WTSC does not feel that removing porting would change the testing dates for pooling.  </w:t>
      </w:r>
    </w:p>
    <w:p w14:paraId="2B4E9781" w14:textId="77777777" w:rsidR="00070362" w:rsidRDefault="00070362" w:rsidP="00070362">
      <w:pPr>
        <w:pStyle w:val="Header"/>
        <w:numPr>
          <w:ilvl w:val="0"/>
          <w:numId w:val="3"/>
        </w:numPr>
        <w:tabs>
          <w:tab w:val="clear" w:pos="4320"/>
          <w:tab w:val="clear" w:pos="8640"/>
        </w:tabs>
        <w:rPr>
          <w:snapToGrid/>
          <w:color w:val="000000"/>
        </w:rPr>
      </w:pPr>
      <w:r>
        <w:rPr>
          <w:snapToGrid/>
          <w:color w:val="000000"/>
        </w:rPr>
        <w:t>The next WTSC meeting will be in Orlando, FL in January 2002.</w:t>
      </w:r>
    </w:p>
    <w:p w14:paraId="0116FAB9" w14:textId="77777777" w:rsidR="00070362" w:rsidRDefault="00070362">
      <w:pPr>
        <w:pStyle w:val="Header"/>
        <w:tabs>
          <w:tab w:val="clear" w:pos="4320"/>
          <w:tab w:val="clear" w:pos="8640"/>
        </w:tabs>
        <w:rPr>
          <w:snapToGrid/>
          <w:color w:val="000000"/>
        </w:rPr>
      </w:pPr>
    </w:p>
    <w:p w14:paraId="699D29ED" w14:textId="77777777" w:rsidR="00070362" w:rsidRDefault="00070362">
      <w:pPr>
        <w:pStyle w:val="Header"/>
        <w:tabs>
          <w:tab w:val="clear" w:pos="4320"/>
          <w:tab w:val="clear" w:pos="8640"/>
        </w:tabs>
        <w:rPr>
          <w:snapToGrid/>
          <w:color w:val="000000"/>
        </w:rPr>
      </w:pPr>
    </w:p>
    <w:p w14:paraId="4D5E5512" w14:textId="77777777" w:rsidR="00070362" w:rsidRDefault="00070362">
      <w:pPr>
        <w:pStyle w:val="Header"/>
        <w:tabs>
          <w:tab w:val="clear" w:pos="4320"/>
          <w:tab w:val="clear" w:pos="8640"/>
        </w:tabs>
        <w:rPr>
          <w:snapToGrid/>
          <w:color w:val="000000"/>
        </w:rPr>
      </w:pPr>
    </w:p>
    <w:p w14:paraId="36F26F07" w14:textId="77777777" w:rsidR="00070362" w:rsidRDefault="00070362">
      <w:pPr>
        <w:pStyle w:val="Header"/>
        <w:tabs>
          <w:tab w:val="clear" w:pos="4320"/>
          <w:tab w:val="clear" w:pos="8640"/>
        </w:tabs>
        <w:rPr>
          <w:snapToGrid/>
          <w:color w:val="000000"/>
          <w:sz w:val="24"/>
          <w:u w:val="single"/>
        </w:rPr>
      </w:pPr>
      <w:proofErr w:type="spellStart"/>
      <w:r>
        <w:rPr>
          <w:snapToGrid/>
          <w:color w:val="000000"/>
          <w:sz w:val="24"/>
          <w:u w:val="single"/>
        </w:rPr>
        <w:t>Bonafide</w:t>
      </w:r>
      <w:proofErr w:type="spellEnd"/>
      <w:r>
        <w:rPr>
          <w:snapToGrid/>
          <w:color w:val="000000"/>
          <w:sz w:val="24"/>
          <w:u w:val="single"/>
        </w:rPr>
        <w:t xml:space="preserve"> Request Form (BFR) Checklist &amp; Sample Form</w:t>
      </w:r>
    </w:p>
    <w:p w14:paraId="0D9A3111" w14:textId="77777777" w:rsidR="00070362" w:rsidRDefault="00070362">
      <w:pPr>
        <w:pStyle w:val="Header"/>
        <w:tabs>
          <w:tab w:val="clear" w:pos="4320"/>
          <w:tab w:val="clear" w:pos="8640"/>
        </w:tabs>
        <w:rPr>
          <w:snapToGrid/>
          <w:color w:val="000000"/>
        </w:rPr>
      </w:pPr>
    </w:p>
    <w:p w14:paraId="6F5924A0" w14:textId="77777777" w:rsidR="00070362" w:rsidRDefault="00070362">
      <w:pPr>
        <w:pStyle w:val="BodyText3"/>
      </w:pPr>
      <w:r>
        <w:rPr>
          <w:snapToGrid/>
        </w:rPr>
        <w:t xml:space="preserve">The team reviewed a draft BFR checklist and sample form (attached below) to be completed by wireless carriers requesting that other wireless OR wireline service providers support long-term </w:t>
      </w:r>
      <w:r>
        <w:t xml:space="preserve">Local Number Portability (LNP) and open all codes for porting within specified Metropolitan Statistical Areas (MSAs).  The team agreed that since the </w:t>
      </w:r>
      <w:r>
        <w:rPr>
          <w:snapToGrid/>
        </w:rPr>
        <w:t xml:space="preserve">wireless industry </w:t>
      </w:r>
      <w:proofErr w:type="gramStart"/>
      <w:r>
        <w:rPr>
          <w:snapToGrid/>
        </w:rPr>
        <w:t>has to</w:t>
      </w:r>
      <w:proofErr w:type="gramEnd"/>
      <w:r>
        <w:rPr>
          <w:snapToGrid/>
        </w:rPr>
        <w:t xml:space="preserve"> implement portability using a flash-cut approach (instead of a phased approach like wireline) all a SP’s codes within designated MSAs should be opened for porting at one time. </w:t>
      </w:r>
    </w:p>
    <w:p w14:paraId="49DF0AF5" w14:textId="77777777" w:rsidR="00070362" w:rsidRDefault="00070362">
      <w:pPr>
        <w:pStyle w:val="BodyText3"/>
      </w:pPr>
    </w:p>
    <w:p w14:paraId="0CB42429" w14:textId="77777777" w:rsidR="00070362" w:rsidRDefault="00070362">
      <w:pPr>
        <w:pStyle w:val="BodyText3"/>
      </w:pPr>
      <w:r>
        <w:t>The team reviewed a copy of a BFR form that is currently in use by wireline service providers today.  The wireline service providers agreed that the only additional piece of information that they would require (above and beyond what was listed in the draft BFR form) is the wireline switch CLLI (Common Language Location Identifier) code.  Those wireline service providers also confirmed that neither rate centers nor NPA NXXs need to be specified.  The team agreed that one form should be used for requests being made of both wireless and wireline providers.</w:t>
      </w:r>
    </w:p>
    <w:p w14:paraId="75DBF37C" w14:textId="77777777" w:rsidR="00070362" w:rsidRDefault="00070362">
      <w:pPr>
        <w:pStyle w:val="BodyText3"/>
      </w:pPr>
    </w:p>
    <w:p w14:paraId="1218DDE7" w14:textId="77777777" w:rsidR="00070362" w:rsidRDefault="00070362">
      <w:pPr>
        <w:pStyle w:val="BodyText3"/>
        <w:rPr>
          <w:rFonts w:cs="Arial"/>
        </w:rPr>
      </w:pPr>
      <w:r>
        <w:t xml:space="preserve">The team decided that a </w:t>
      </w:r>
      <w:r>
        <w:rPr>
          <w:rFonts w:cs="Arial"/>
        </w:rPr>
        <w:t xml:space="preserve">WNPO BFR Contact Matrix should be created with all the most up-to-date service provider contact information (which will be posted on the NPAC website under WNPO).  Requestors completing the form should first refer to this WNPO BFR Contact Matrix for the intended recipient’s contact information.  If the intended recipient has not provided this contact information to the WNPO, then the </w:t>
      </w:r>
      <w:r>
        <w:rPr>
          <w:rFonts w:cs="Arial"/>
        </w:rPr>
        <w:lastRenderedPageBreak/>
        <w:t>requestor should refer to the contact information in the LERG.  It is the responsibility of the intended recipient carrier to ensure that their contact information is up to date.  This contact information can also be specified in the SLAs between individual service providers as well.</w:t>
      </w:r>
    </w:p>
    <w:p w14:paraId="5F059226" w14:textId="77777777" w:rsidR="00070362" w:rsidRDefault="00070362">
      <w:pPr>
        <w:pStyle w:val="BodyText3"/>
        <w:rPr>
          <w:rFonts w:cs="Arial"/>
        </w:rPr>
      </w:pPr>
    </w:p>
    <w:p w14:paraId="73C4B496" w14:textId="77777777" w:rsidR="00070362" w:rsidRDefault="00070362">
      <w:pPr>
        <w:pStyle w:val="BodyText3"/>
        <w:rPr>
          <w:snapToGrid/>
        </w:rPr>
      </w:pPr>
      <w:r>
        <w:rPr>
          <w:b/>
          <w:bCs/>
          <w:snapToGrid/>
          <w:highlight w:val="yellow"/>
          <w:u w:val="single"/>
        </w:rPr>
        <w:t>ACTION:</w:t>
      </w:r>
      <w:r>
        <w:rPr>
          <w:snapToGrid/>
        </w:rPr>
        <w:t xml:space="preserve"> All service providers to email Jim Grasser their contact information for BFR requests by COB Wednesday 12/19/01 (include company name, contact name, contact’s address, contact’s phone number, contact’s fax number, contact’s email address).</w:t>
      </w:r>
    </w:p>
    <w:p w14:paraId="5C50D733" w14:textId="77777777" w:rsidR="00070362" w:rsidRDefault="00070362">
      <w:pPr>
        <w:pStyle w:val="BodyText3"/>
        <w:rPr>
          <w:snapToGrid/>
        </w:rPr>
      </w:pPr>
    </w:p>
    <w:p w14:paraId="245CB158" w14:textId="77777777" w:rsidR="00070362" w:rsidRDefault="00070362">
      <w:pPr>
        <w:pStyle w:val="BodyText3"/>
        <w:rPr>
          <w:snapToGrid/>
        </w:rPr>
      </w:pPr>
      <w:r>
        <w:rPr>
          <w:b/>
          <w:bCs/>
          <w:snapToGrid/>
          <w:highlight w:val="yellow"/>
          <w:u w:val="single"/>
        </w:rPr>
        <w:t>ACTION:</w:t>
      </w:r>
      <w:r>
        <w:rPr>
          <w:snapToGrid/>
        </w:rPr>
        <w:t xml:space="preserve"> Jim Grasser to compile the WNPO BFR Contact Matrix and post it on the NPAC website (under WNPO).  </w:t>
      </w:r>
    </w:p>
    <w:p w14:paraId="130C5370" w14:textId="77777777" w:rsidR="00070362" w:rsidRDefault="00070362">
      <w:pPr>
        <w:pStyle w:val="BodyText3"/>
        <w:rPr>
          <w:snapToGrid/>
        </w:rPr>
      </w:pPr>
    </w:p>
    <w:p w14:paraId="5AE9BAB0" w14:textId="77777777" w:rsidR="00070362" w:rsidRDefault="00070362">
      <w:pPr>
        <w:pStyle w:val="Header"/>
        <w:tabs>
          <w:tab w:val="clear" w:pos="4320"/>
          <w:tab w:val="clear" w:pos="8640"/>
        </w:tabs>
        <w:rPr>
          <w:snapToGrid/>
          <w:color w:val="000000"/>
        </w:rPr>
      </w:pPr>
      <w:r>
        <w:rPr>
          <w:snapToGrid/>
          <w:color w:val="000000"/>
        </w:rPr>
        <w:t xml:space="preserve">Sending the BFR form to the recipient contact information in the WNPO BFR Matrix or the LERG contact information guarantees that you have made the request, and the intended recipient is responsible for opening the necessary codes for porting.  It is the recipient’s responsibility for ensuring that the contact information in the WNPO BFR Matrix and/or the LERG is correct.  </w:t>
      </w:r>
      <w:r>
        <w:rPr>
          <w:b/>
          <w:bCs/>
          <w:snapToGrid/>
          <w:color w:val="000000"/>
          <w:highlight w:val="yellow"/>
          <w:u w:val="single"/>
        </w:rPr>
        <w:t>ACTION:</w:t>
      </w:r>
      <w:r>
        <w:rPr>
          <w:snapToGrid/>
          <w:color w:val="000000"/>
        </w:rPr>
        <w:t xml:space="preserve"> Add the preceding information to the WNPO Decision/Recommendation matrix. (Brigitte Brown)</w:t>
      </w:r>
    </w:p>
    <w:p w14:paraId="53ABEB52" w14:textId="77777777" w:rsidR="00070362" w:rsidRDefault="00070362">
      <w:pPr>
        <w:pStyle w:val="Header"/>
        <w:tabs>
          <w:tab w:val="clear" w:pos="4320"/>
          <w:tab w:val="clear" w:pos="8640"/>
        </w:tabs>
        <w:rPr>
          <w:snapToGrid/>
          <w:color w:val="000000"/>
        </w:rPr>
      </w:pPr>
    </w:p>
    <w:p w14:paraId="056F8C86"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All service providers to ensure that their contact information in the LERG is up to date.</w:t>
      </w:r>
    </w:p>
    <w:p w14:paraId="236E9B17" w14:textId="77777777" w:rsidR="00070362" w:rsidRDefault="00070362">
      <w:pPr>
        <w:pStyle w:val="BodyText3"/>
      </w:pPr>
    </w:p>
    <w:p w14:paraId="654093D9" w14:textId="77777777" w:rsidR="00070362" w:rsidRDefault="00070362">
      <w:pPr>
        <w:pStyle w:val="BodyText3"/>
        <w:rPr>
          <w:rFonts w:cs="Arial"/>
        </w:rPr>
      </w:pPr>
      <w:r>
        <w:t>Following are the c</w:t>
      </w:r>
      <w:r>
        <w:rPr>
          <w:rFonts w:cs="Arial"/>
        </w:rPr>
        <w:t>hanges the team requested (which have been incorporated in the attached document below):</w:t>
      </w:r>
    </w:p>
    <w:p w14:paraId="7974EB82" w14:textId="77777777" w:rsidR="00070362" w:rsidRDefault="00070362">
      <w:pPr>
        <w:pStyle w:val="BodyText3"/>
        <w:rPr>
          <w:rFonts w:cs="Arial"/>
        </w:rPr>
      </w:pPr>
    </w:p>
    <w:p w14:paraId="157BC7D9" w14:textId="77777777" w:rsidR="00070362" w:rsidRDefault="00070362">
      <w:pPr>
        <w:pStyle w:val="BodyText3"/>
        <w:ind w:left="360"/>
        <w:rPr>
          <w:rFonts w:cs="Arial"/>
          <w:b/>
          <w:bCs/>
        </w:rPr>
      </w:pPr>
      <w:r>
        <w:rPr>
          <w:rFonts w:cs="Arial"/>
          <w:b/>
          <w:bCs/>
        </w:rPr>
        <w:t>Changes to the BFR Form:</w:t>
      </w:r>
    </w:p>
    <w:p w14:paraId="48AE9FC8" w14:textId="77777777" w:rsidR="00070362" w:rsidRDefault="00070362" w:rsidP="00070362">
      <w:pPr>
        <w:pStyle w:val="BodyText3"/>
        <w:numPr>
          <w:ilvl w:val="1"/>
          <w:numId w:val="5"/>
        </w:numPr>
        <w:rPr>
          <w:rFonts w:cs="Arial"/>
        </w:rPr>
      </w:pPr>
      <w:r>
        <w:rPr>
          <w:rFonts w:cs="Arial"/>
        </w:rPr>
        <w:t>Include a section for wireline switch CLLI codes to be specified.</w:t>
      </w:r>
    </w:p>
    <w:p w14:paraId="6E348E3A" w14:textId="77777777" w:rsidR="00070362" w:rsidRDefault="00070362" w:rsidP="00070362">
      <w:pPr>
        <w:pStyle w:val="BodyText3"/>
        <w:numPr>
          <w:ilvl w:val="1"/>
          <w:numId w:val="5"/>
        </w:numPr>
        <w:rPr>
          <w:rFonts w:cs="Arial"/>
        </w:rPr>
      </w:pPr>
      <w:r>
        <w:rPr>
          <w:rFonts w:cs="Arial"/>
        </w:rPr>
        <w:t>Clarify that for a wireless recipient the CLLI code information does not have to be completed (only the MSAs need to be specified).</w:t>
      </w:r>
    </w:p>
    <w:p w14:paraId="7141275A" w14:textId="77777777" w:rsidR="00070362" w:rsidRDefault="00070362" w:rsidP="00070362">
      <w:pPr>
        <w:pStyle w:val="BodyText3"/>
        <w:numPr>
          <w:ilvl w:val="1"/>
          <w:numId w:val="5"/>
        </w:numPr>
        <w:rPr>
          <w:snapToGrid/>
        </w:rPr>
      </w:pPr>
      <w:r>
        <w:rPr>
          <w:rFonts w:cs="Arial"/>
        </w:rPr>
        <w:t>In the purpose emphasize that ALL codes must be opened for porting within the specified MSAs and wireline switch CLLI codes.</w:t>
      </w:r>
    </w:p>
    <w:p w14:paraId="6B8F9144" w14:textId="77777777" w:rsidR="00070362" w:rsidRDefault="00070362" w:rsidP="00070362">
      <w:pPr>
        <w:pStyle w:val="BodyText3"/>
        <w:numPr>
          <w:ilvl w:val="1"/>
          <w:numId w:val="5"/>
        </w:numPr>
        <w:rPr>
          <w:snapToGrid/>
        </w:rPr>
      </w:pPr>
      <w:r>
        <w:rPr>
          <w:snapToGrid/>
        </w:rPr>
        <w:t>Add to the form that the requestor should use the contact information in the WNPO BFR Contact Matrix, and if that service provider’s contact information is no listed then use the contact information in the LERG.</w:t>
      </w:r>
    </w:p>
    <w:p w14:paraId="7DC4DB5B" w14:textId="77777777" w:rsidR="00070362" w:rsidRDefault="00070362" w:rsidP="00070362">
      <w:pPr>
        <w:pStyle w:val="BodyText3"/>
        <w:numPr>
          <w:ilvl w:val="1"/>
          <w:numId w:val="5"/>
        </w:numPr>
        <w:rPr>
          <w:rFonts w:cs="Arial"/>
        </w:rPr>
      </w:pPr>
      <w:r>
        <w:rPr>
          <w:rFonts w:cs="Arial"/>
        </w:rPr>
        <w:t>Reference the FCC mandate.</w:t>
      </w:r>
    </w:p>
    <w:p w14:paraId="0420236E" w14:textId="77777777" w:rsidR="00070362" w:rsidRDefault="00070362" w:rsidP="00070362">
      <w:pPr>
        <w:pStyle w:val="BodyText3"/>
        <w:numPr>
          <w:ilvl w:val="1"/>
          <w:numId w:val="5"/>
        </w:numPr>
        <w:rPr>
          <w:rFonts w:cs="Arial"/>
        </w:rPr>
      </w:pPr>
      <w:r>
        <w:rPr>
          <w:rFonts w:cs="Arial"/>
        </w:rPr>
        <w:t>In the “Actions Required of the Recipient” section emphasize the word “all” in the following statements:</w:t>
      </w:r>
    </w:p>
    <w:p w14:paraId="5FFBDFB1" w14:textId="77777777" w:rsidR="00070362" w:rsidRDefault="00070362" w:rsidP="00070362">
      <w:pPr>
        <w:pStyle w:val="BodyText3"/>
        <w:numPr>
          <w:ilvl w:val="2"/>
          <w:numId w:val="5"/>
        </w:numPr>
        <w:rPr>
          <w:rFonts w:cs="Arial"/>
        </w:rPr>
      </w:pPr>
      <w:r>
        <w:rPr>
          <w:rFonts w:cs="Arial"/>
        </w:rPr>
        <w:t xml:space="preserve">For </w:t>
      </w:r>
      <w:r>
        <w:rPr>
          <w:rFonts w:cs="Arial"/>
          <w:b/>
          <w:bCs/>
          <w:u w:val="single"/>
        </w:rPr>
        <w:t>all</w:t>
      </w:r>
      <w:r>
        <w:rPr>
          <w:rFonts w:cs="Arial"/>
        </w:rPr>
        <w:t xml:space="preserve"> currently released codes, and those to be released at any future time, within the designated U.S. Census Bureau MSAs and wireline switch CLLI codes (where applicable), open </w:t>
      </w:r>
      <w:r>
        <w:rPr>
          <w:rFonts w:cs="Arial"/>
          <w:b/>
          <w:bCs/>
          <w:u w:val="single"/>
        </w:rPr>
        <w:t>all</w:t>
      </w:r>
      <w:r>
        <w:rPr>
          <w:rFonts w:cs="Arial"/>
        </w:rPr>
        <w:t xml:space="preserve"> for porting within the LERG.</w:t>
      </w:r>
    </w:p>
    <w:p w14:paraId="5CC173FF" w14:textId="77777777" w:rsidR="00070362" w:rsidRDefault="00070362" w:rsidP="00070362">
      <w:pPr>
        <w:pStyle w:val="BodyText3"/>
        <w:numPr>
          <w:ilvl w:val="2"/>
          <w:numId w:val="5"/>
        </w:numPr>
        <w:rPr>
          <w:rFonts w:cs="Arial"/>
        </w:rPr>
      </w:pPr>
      <w:r>
        <w:rPr>
          <w:rFonts w:cs="Arial"/>
        </w:rPr>
        <w:t xml:space="preserve">For </w:t>
      </w:r>
      <w:r>
        <w:rPr>
          <w:rFonts w:cs="Arial"/>
          <w:b/>
          <w:bCs/>
          <w:u w:val="single"/>
        </w:rPr>
        <w:t>all</w:t>
      </w:r>
      <w:r>
        <w:rPr>
          <w:rFonts w:cs="Arial"/>
        </w:rPr>
        <w:t xml:space="preserve"> currently released codes, and those to be released at any future time, within the designated U.S. Census Bureau MSAs and wireline switch CLLI codes (where applicable), open </w:t>
      </w:r>
      <w:r>
        <w:rPr>
          <w:rFonts w:cs="Arial"/>
          <w:b/>
          <w:bCs/>
          <w:u w:val="single"/>
        </w:rPr>
        <w:t>all</w:t>
      </w:r>
      <w:r>
        <w:rPr>
          <w:rFonts w:cs="Arial"/>
        </w:rPr>
        <w:t xml:space="preserve"> for porting within the NPAC (Number Portability Administration Center).</w:t>
      </w:r>
    </w:p>
    <w:p w14:paraId="048BF0A8" w14:textId="77777777" w:rsidR="00070362" w:rsidRDefault="00070362">
      <w:pPr>
        <w:pStyle w:val="BodyText3"/>
        <w:ind w:left="720"/>
        <w:rPr>
          <w:rFonts w:cs="Arial"/>
        </w:rPr>
      </w:pPr>
    </w:p>
    <w:p w14:paraId="079C098B" w14:textId="77777777" w:rsidR="00070362" w:rsidRDefault="00070362">
      <w:pPr>
        <w:pStyle w:val="BodyText3"/>
        <w:ind w:left="360"/>
        <w:rPr>
          <w:rFonts w:cs="Arial"/>
          <w:b/>
          <w:bCs/>
        </w:rPr>
      </w:pPr>
      <w:r>
        <w:rPr>
          <w:rFonts w:cs="Arial"/>
          <w:b/>
          <w:bCs/>
        </w:rPr>
        <w:t>Changes to the BFR Checklist page:</w:t>
      </w:r>
    </w:p>
    <w:p w14:paraId="0826C8EE" w14:textId="77777777" w:rsidR="00070362" w:rsidRDefault="00070362" w:rsidP="00070362">
      <w:pPr>
        <w:numPr>
          <w:ilvl w:val="1"/>
          <w:numId w:val="3"/>
        </w:numPr>
      </w:pPr>
      <w:r>
        <w:t xml:space="preserve">Can you set up an effective date in LERG requests to open codes for porting?  </w:t>
      </w:r>
      <w:r>
        <w:rPr>
          <w:b/>
          <w:bCs/>
        </w:rPr>
        <w:t>YES</w:t>
      </w:r>
      <w:r>
        <w:t>.</w:t>
      </w:r>
    </w:p>
    <w:p w14:paraId="52F7051D" w14:textId="77777777" w:rsidR="00070362" w:rsidRDefault="00070362" w:rsidP="00070362">
      <w:pPr>
        <w:numPr>
          <w:ilvl w:val="1"/>
          <w:numId w:val="3"/>
        </w:numPr>
        <w:rPr>
          <w:rFonts w:cs="Arial"/>
          <w:color w:val="800080"/>
        </w:rPr>
      </w:pPr>
      <w:r>
        <w:t xml:space="preserve">Once a code is open for porting in the LERG and NPAC, can that status ever be changed in the future? (This relates to step 1 and 2) </w:t>
      </w:r>
      <w:r>
        <w:rPr>
          <w:b/>
          <w:bCs/>
        </w:rPr>
        <w:t>YES</w:t>
      </w:r>
      <w:r>
        <w:t>.</w:t>
      </w:r>
    </w:p>
    <w:p w14:paraId="698BFB48" w14:textId="77777777" w:rsidR="00070362" w:rsidRDefault="00070362" w:rsidP="00070362">
      <w:pPr>
        <w:numPr>
          <w:ilvl w:val="1"/>
          <w:numId w:val="3"/>
        </w:numPr>
      </w:pPr>
      <w:r>
        <w:t xml:space="preserve">Look throughout the FCC orders for the need to prove the potential to port-in customers within the designated area.  </w:t>
      </w:r>
      <w:r>
        <w:rPr>
          <w:b/>
          <w:bCs/>
        </w:rPr>
        <w:t>THERE IS NO REQUIREMENT FOR PROOF.</w:t>
      </w:r>
    </w:p>
    <w:p w14:paraId="3A33D984" w14:textId="77777777" w:rsidR="00070362" w:rsidRDefault="00070362" w:rsidP="00070362">
      <w:pPr>
        <w:numPr>
          <w:ilvl w:val="1"/>
          <w:numId w:val="3"/>
        </w:numPr>
      </w:pPr>
      <w:r>
        <w:t xml:space="preserve">Look into whether requests outside the Top 100 MSAs can be made in February 2002, or if they cannot be made until 11/25/02. </w:t>
      </w:r>
      <w:r>
        <w:rPr>
          <w:b/>
          <w:bCs/>
        </w:rPr>
        <w:t>CAN MAKE A REQUEST FOR MSAs OUTSIDE THE TOP 100, BUT THE CLOCK DOES NOT START TICKING UNTIL AFTER 11/24/02.</w:t>
      </w:r>
    </w:p>
    <w:p w14:paraId="722C670E" w14:textId="77777777" w:rsidR="00070362" w:rsidRDefault="00070362" w:rsidP="00070362">
      <w:pPr>
        <w:numPr>
          <w:ilvl w:val="1"/>
          <w:numId w:val="3"/>
        </w:numPr>
      </w:pPr>
      <w:r>
        <w:t>Mention the requirement for CLLI codes.</w:t>
      </w:r>
    </w:p>
    <w:p w14:paraId="2C7A7694" w14:textId="77777777" w:rsidR="00070362" w:rsidRDefault="00070362">
      <w:pPr>
        <w:pStyle w:val="Header"/>
        <w:tabs>
          <w:tab w:val="clear" w:pos="4320"/>
          <w:tab w:val="clear" w:pos="8640"/>
        </w:tabs>
        <w:rPr>
          <w:snapToGrid/>
          <w:color w:val="000000"/>
        </w:rPr>
      </w:pPr>
    </w:p>
    <w:p w14:paraId="7123D438" w14:textId="77777777" w:rsidR="00070362" w:rsidRDefault="00070362">
      <w:pPr>
        <w:pStyle w:val="Header"/>
        <w:tabs>
          <w:tab w:val="clear" w:pos="4320"/>
          <w:tab w:val="clear" w:pos="8640"/>
        </w:tabs>
        <w:rPr>
          <w:snapToGrid/>
          <w:color w:val="000000"/>
        </w:rPr>
      </w:pPr>
      <w:r>
        <w:rPr>
          <w:snapToGrid/>
          <w:color w:val="000000"/>
        </w:rPr>
        <w:t>Clarifications made:</w:t>
      </w:r>
    </w:p>
    <w:p w14:paraId="06915AFD" w14:textId="77777777" w:rsidR="00070362" w:rsidRDefault="00070362" w:rsidP="00070362">
      <w:pPr>
        <w:pStyle w:val="Header"/>
        <w:numPr>
          <w:ilvl w:val="0"/>
          <w:numId w:val="6"/>
        </w:numPr>
        <w:tabs>
          <w:tab w:val="clear" w:pos="4320"/>
          <w:tab w:val="clear" w:pos="8640"/>
        </w:tabs>
        <w:rPr>
          <w:snapToGrid/>
          <w:color w:val="000000"/>
        </w:rPr>
      </w:pPr>
      <w:r>
        <w:rPr>
          <w:snapToGrid/>
          <w:color w:val="000000"/>
        </w:rPr>
        <w:t xml:space="preserve">The clarification was made that if codes are pooling capable, then they are also porting capable.  </w:t>
      </w:r>
    </w:p>
    <w:p w14:paraId="115C4C18" w14:textId="77777777" w:rsidR="00070362" w:rsidRDefault="00070362" w:rsidP="00070362">
      <w:pPr>
        <w:pStyle w:val="Header"/>
        <w:numPr>
          <w:ilvl w:val="0"/>
          <w:numId w:val="6"/>
        </w:numPr>
        <w:tabs>
          <w:tab w:val="clear" w:pos="4320"/>
          <w:tab w:val="clear" w:pos="8640"/>
        </w:tabs>
        <w:rPr>
          <w:snapToGrid/>
          <w:color w:val="000000"/>
        </w:rPr>
      </w:pPr>
      <w:r>
        <w:rPr>
          <w:snapToGrid/>
          <w:color w:val="000000"/>
        </w:rPr>
        <w:t>If a SP’s codes are in the designated MSA, but its switches are outside of that MSA, it will still have to open those switches.</w:t>
      </w:r>
    </w:p>
    <w:p w14:paraId="1CDFE054" w14:textId="77777777" w:rsidR="00070362" w:rsidRDefault="00070362" w:rsidP="00070362">
      <w:pPr>
        <w:pStyle w:val="Header"/>
        <w:numPr>
          <w:ilvl w:val="0"/>
          <w:numId w:val="6"/>
        </w:numPr>
        <w:tabs>
          <w:tab w:val="clear" w:pos="4320"/>
          <w:tab w:val="clear" w:pos="8640"/>
        </w:tabs>
        <w:rPr>
          <w:snapToGrid/>
          <w:color w:val="000000"/>
        </w:rPr>
      </w:pPr>
      <w:r>
        <w:rPr>
          <w:snapToGrid/>
          <w:color w:val="000000"/>
        </w:rPr>
        <w:t>Team member stated that there is not a standardized form currently being used across wireline carriers.</w:t>
      </w:r>
    </w:p>
    <w:p w14:paraId="53ADC56A" w14:textId="77777777" w:rsidR="00070362" w:rsidRDefault="00070362">
      <w:pPr>
        <w:pStyle w:val="Header"/>
        <w:tabs>
          <w:tab w:val="clear" w:pos="4320"/>
          <w:tab w:val="clear" w:pos="8640"/>
        </w:tabs>
        <w:ind w:left="360"/>
        <w:rPr>
          <w:snapToGrid/>
          <w:color w:val="000000"/>
        </w:rPr>
      </w:pPr>
    </w:p>
    <w:p w14:paraId="4C7B579D" w14:textId="77777777" w:rsidR="00070362" w:rsidRDefault="00357E4A">
      <w:pPr>
        <w:pStyle w:val="Header"/>
        <w:tabs>
          <w:tab w:val="clear" w:pos="4320"/>
          <w:tab w:val="clear" w:pos="8640"/>
        </w:tabs>
        <w:ind w:left="360"/>
        <w:rPr>
          <w:snapToGrid/>
          <w:color w:val="000000"/>
        </w:rPr>
      </w:pPr>
      <w:r>
        <w:rPr>
          <w:noProof/>
          <w:snapToGrid/>
          <w:color w:val="000000"/>
        </w:rPr>
        <w:lastRenderedPageBreak/>
        <w:object w:dxaOrig="1440" w:dyaOrig="1440" w14:anchorId="19271CC8">
          <v:shape id="_x0000_s2080" type="#_x0000_t75" style="position:absolute;left:0;text-align:left;margin-left:0;margin-top:0;width:83.8pt;height:54.15pt;z-index:251656704">
            <v:imagedata r:id="rId13" o:title=""/>
            <w10:wrap type="topAndBottom"/>
          </v:shape>
          <o:OLEObject Type="Embed" ProgID="Word.Document.8" ShapeID="_x0000_s2080" DrawAspect="Icon" ObjectID="_1734525861" r:id="rId14">
            <o:FieldCodes>\s</o:FieldCodes>
          </o:OLEObject>
        </w:object>
      </w:r>
    </w:p>
    <w:p w14:paraId="32DCEF4A" w14:textId="77777777" w:rsidR="00070362" w:rsidRDefault="00070362">
      <w:pPr>
        <w:pStyle w:val="Header"/>
        <w:tabs>
          <w:tab w:val="clear" w:pos="4320"/>
          <w:tab w:val="clear" w:pos="8640"/>
        </w:tabs>
        <w:rPr>
          <w:snapToGrid/>
          <w:color w:val="000000"/>
          <w:sz w:val="24"/>
          <w:u w:val="single"/>
        </w:rPr>
      </w:pPr>
    </w:p>
    <w:p w14:paraId="60D4A7C6"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 xml:space="preserve">NPAC </w:t>
      </w:r>
      <w:proofErr w:type="spellStart"/>
      <w:r>
        <w:rPr>
          <w:snapToGrid/>
          <w:color w:val="000000"/>
          <w:sz w:val="24"/>
          <w:u w:val="single"/>
        </w:rPr>
        <w:t>Tuneables</w:t>
      </w:r>
      <w:proofErr w:type="spellEnd"/>
      <w:r>
        <w:rPr>
          <w:snapToGrid/>
          <w:color w:val="000000"/>
          <w:sz w:val="24"/>
          <w:u w:val="single"/>
        </w:rPr>
        <w:t>:</w:t>
      </w:r>
    </w:p>
    <w:p w14:paraId="5935321E" w14:textId="77777777" w:rsidR="00070362" w:rsidRDefault="00070362">
      <w:pPr>
        <w:pStyle w:val="Header"/>
        <w:tabs>
          <w:tab w:val="clear" w:pos="4320"/>
          <w:tab w:val="clear" w:pos="8640"/>
        </w:tabs>
        <w:rPr>
          <w:snapToGrid/>
          <w:color w:val="000000"/>
        </w:rPr>
      </w:pPr>
    </w:p>
    <w:p w14:paraId="68D084E9" w14:textId="77777777" w:rsidR="00070362" w:rsidRDefault="00070362">
      <w:pPr>
        <w:pStyle w:val="Header"/>
        <w:tabs>
          <w:tab w:val="clear" w:pos="4320"/>
          <w:tab w:val="clear" w:pos="8640"/>
        </w:tabs>
        <w:rPr>
          <w:snapToGrid/>
          <w:color w:val="000000"/>
        </w:rPr>
      </w:pPr>
      <w:r>
        <w:rPr>
          <w:snapToGrid/>
          <w:color w:val="000000"/>
        </w:rPr>
        <w:t xml:space="preserve">The team reviewed the system </w:t>
      </w:r>
      <w:proofErr w:type="spellStart"/>
      <w:r>
        <w:rPr>
          <w:snapToGrid/>
          <w:color w:val="000000"/>
        </w:rPr>
        <w:t>tuneables</w:t>
      </w:r>
      <w:proofErr w:type="spellEnd"/>
      <w:r>
        <w:rPr>
          <w:snapToGrid/>
          <w:color w:val="000000"/>
        </w:rPr>
        <w:t xml:space="preserve"> document attached below and agreed upon the following settings.  (Note: these settings can be changed in the future if the team deems it necessary)</w:t>
      </w:r>
    </w:p>
    <w:p w14:paraId="2287BA95" w14:textId="77777777" w:rsidR="00070362" w:rsidRDefault="00070362">
      <w:pPr>
        <w:pStyle w:val="Header"/>
        <w:tabs>
          <w:tab w:val="clear" w:pos="4320"/>
          <w:tab w:val="clear" w:pos="8640"/>
        </w:tabs>
        <w:rPr>
          <w:snapToGrid/>
          <w:color w:val="000000"/>
        </w:rPr>
      </w:pPr>
    </w:p>
    <w:p w14:paraId="4C0DBB19"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Short Initial Concurrence Window</w:t>
      </w:r>
      <w:r>
        <w:rPr>
          <w:snapToGrid/>
          <w:color w:val="000000"/>
        </w:rPr>
        <w:t xml:space="preserve"> – leave as is – 1 business hour.</w:t>
      </w:r>
    </w:p>
    <w:p w14:paraId="45CF872C"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Short Final Concurrence Window</w:t>
      </w:r>
      <w:r>
        <w:rPr>
          <w:snapToGrid/>
          <w:color w:val="000000"/>
        </w:rPr>
        <w:t xml:space="preserve"> – leave as is – 1 business hour.</w:t>
      </w:r>
    </w:p>
    <w:p w14:paraId="45817BB3"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Short Conflict Resolution New Service Provider Restriction</w:t>
      </w:r>
      <w:r>
        <w:rPr>
          <w:snapToGrid/>
          <w:color w:val="000000"/>
        </w:rPr>
        <w:t xml:space="preserve"> – leave as is – 6 business hours.  Team members clarified that the OSP puts it into conflict (not the NSP), and that it can stay in conflict for a maximum of 30 days.  </w:t>
      </w:r>
    </w:p>
    <w:p w14:paraId="13735E44"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Short Cancellation Initial Concurrence Window</w:t>
      </w:r>
      <w:r>
        <w:rPr>
          <w:snapToGrid/>
          <w:color w:val="000000"/>
        </w:rPr>
        <w:t xml:space="preserve"> – leave as is – 9 business hours.</w:t>
      </w:r>
    </w:p>
    <w:p w14:paraId="4BF4212E"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Short Cancellation Final Concurrence Window –</w:t>
      </w:r>
      <w:r>
        <w:rPr>
          <w:snapToGrid/>
          <w:color w:val="000000"/>
        </w:rPr>
        <w:t xml:space="preserve"> leave as is – 9 business hours.</w:t>
      </w:r>
    </w:p>
    <w:p w14:paraId="6FA9D0AD"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Long Business Day Duration</w:t>
      </w:r>
      <w:r>
        <w:rPr>
          <w:snapToGrid/>
          <w:color w:val="000000"/>
        </w:rPr>
        <w:t xml:space="preserve"> – After some discussion, </w:t>
      </w:r>
      <w:proofErr w:type="gramStart"/>
      <w:r>
        <w:rPr>
          <w:snapToGrid/>
          <w:color w:val="000000"/>
        </w:rPr>
        <w:t>the majority of</w:t>
      </w:r>
      <w:proofErr w:type="gramEnd"/>
      <w:r>
        <w:rPr>
          <w:snapToGrid/>
          <w:color w:val="000000"/>
        </w:rPr>
        <w:t xml:space="preserve"> the team agreed to leave this </w:t>
      </w:r>
      <w:proofErr w:type="spellStart"/>
      <w:r>
        <w:rPr>
          <w:snapToGrid/>
          <w:color w:val="000000"/>
        </w:rPr>
        <w:t>Tuneable</w:t>
      </w:r>
      <w:proofErr w:type="spellEnd"/>
      <w:r>
        <w:rPr>
          <w:snapToGrid/>
          <w:color w:val="000000"/>
        </w:rPr>
        <w:t xml:space="preserve"> as is at 12 calendar hours (with one SP opposed).  During the discussion some SPs expressed a desire to elongate the duration to 14 or 24 hours due to numerous activations being expected outside of a 12-hour period.  Elongating this timeframe would require additional staffing on the part of both SPs and the NPAC.</w:t>
      </w:r>
    </w:p>
    <w:p w14:paraId="60B77D6C"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Long Business Day Start Time</w:t>
      </w:r>
      <w:r>
        <w:rPr>
          <w:snapToGrid/>
          <w:color w:val="000000"/>
        </w:rPr>
        <w:t xml:space="preserve"> – The majority of the team agreed to set the start time to 9am (by each regional time zone), so that the Long Business Day would run from 9am to 9pm (by each regional time zone).  The same SP, which opposed the 12-hour day duration, also indicated that 9am to 9pm was not what it was hoping to achieve.</w:t>
      </w:r>
    </w:p>
    <w:p w14:paraId="7A538CBF" w14:textId="77777777" w:rsidR="00070362" w:rsidRDefault="00070362" w:rsidP="00070362">
      <w:pPr>
        <w:pStyle w:val="Header"/>
        <w:numPr>
          <w:ilvl w:val="0"/>
          <w:numId w:val="7"/>
        </w:numPr>
        <w:tabs>
          <w:tab w:val="clear" w:pos="4320"/>
          <w:tab w:val="clear" w:pos="8640"/>
        </w:tabs>
        <w:rPr>
          <w:snapToGrid/>
          <w:color w:val="000000"/>
        </w:rPr>
      </w:pPr>
      <w:r>
        <w:rPr>
          <w:i/>
          <w:iCs/>
          <w:snapToGrid/>
          <w:color w:val="000000"/>
        </w:rPr>
        <w:t>Long Business Days</w:t>
      </w:r>
      <w:r>
        <w:rPr>
          <w:snapToGrid/>
          <w:color w:val="000000"/>
        </w:rPr>
        <w:t xml:space="preserve"> – team agreed to setting this to Sunday through Saturday.</w:t>
      </w:r>
    </w:p>
    <w:p w14:paraId="724B6688" w14:textId="77777777" w:rsidR="00070362" w:rsidRDefault="00070362">
      <w:pPr>
        <w:pStyle w:val="Header"/>
        <w:tabs>
          <w:tab w:val="clear" w:pos="4320"/>
          <w:tab w:val="clear" w:pos="8640"/>
        </w:tabs>
        <w:rPr>
          <w:snapToGrid/>
          <w:color w:val="000000"/>
        </w:rPr>
      </w:pPr>
    </w:p>
    <w:p w14:paraId="51A96604" w14:textId="77777777" w:rsidR="00070362" w:rsidRDefault="00357E4A">
      <w:pPr>
        <w:pStyle w:val="Header"/>
        <w:tabs>
          <w:tab w:val="clear" w:pos="4320"/>
          <w:tab w:val="clear" w:pos="8640"/>
        </w:tabs>
        <w:rPr>
          <w:snapToGrid/>
          <w:color w:val="000000"/>
        </w:rPr>
      </w:pPr>
      <w:r>
        <w:rPr>
          <w:noProof/>
          <w:snapToGrid/>
          <w:color w:val="000000"/>
        </w:rPr>
        <w:object w:dxaOrig="1440" w:dyaOrig="1440" w14:anchorId="0C87D523">
          <v:shape id="_x0000_s2082" type="#_x0000_t75" style="position:absolute;margin-left:2.25pt;margin-top:29.3pt;width:83.8pt;height:54.15pt;z-index:251657728">
            <v:imagedata r:id="rId15" o:title=""/>
            <w10:wrap type="topAndBottom"/>
          </v:shape>
          <o:OLEObject Type="Embed" ProgID="Word.Document.8" ShapeID="_x0000_s2082" DrawAspect="Icon" ObjectID="_1734525862" r:id="rId16">
            <o:FieldCodes>\s</o:FieldCodes>
          </o:OLEObject>
        </w:object>
      </w:r>
      <w:r w:rsidR="00070362">
        <w:rPr>
          <w:snapToGrid/>
          <w:color w:val="000000"/>
        </w:rPr>
        <w:t>Team members clarified that wireline SPs use short business days with long timers, and wireless SPs would use long business days with short timers.</w:t>
      </w:r>
    </w:p>
    <w:p w14:paraId="6ABB95F8" w14:textId="77777777" w:rsidR="00070362" w:rsidRDefault="00070362">
      <w:pPr>
        <w:pStyle w:val="Header"/>
        <w:tabs>
          <w:tab w:val="clear" w:pos="4320"/>
          <w:tab w:val="clear" w:pos="8640"/>
        </w:tabs>
        <w:ind w:left="360"/>
        <w:rPr>
          <w:snapToGrid/>
          <w:color w:val="000000"/>
        </w:rPr>
      </w:pPr>
    </w:p>
    <w:p w14:paraId="3975483A" w14:textId="77777777" w:rsidR="00070362" w:rsidRDefault="00070362">
      <w:pPr>
        <w:pStyle w:val="Header"/>
        <w:tabs>
          <w:tab w:val="clear" w:pos="4320"/>
          <w:tab w:val="clear" w:pos="8640"/>
        </w:tabs>
        <w:ind w:left="360"/>
        <w:rPr>
          <w:snapToGrid/>
          <w:color w:val="000000"/>
        </w:rPr>
      </w:pPr>
    </w:p>
    <w:p w14:paraId="63609995"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Maintenance Windows:</w:t>
      </w:r>
    </w:p>
    <w:p w14:paraId="0BF0D208" w14:textId="77777777" w:rsidR="00070362" w:rsidRDefault="00070362">
      <w:pPr>
        <w:pStyle w:val="Header"/>
        <w:tabs>
          <w:tab w:val="clear" w:pos="4320"/>
          <w:tab w:val="clear" w:pos="8640"/>
        </w:tabs>
        <w:rPr>
          <w:snapToGrid/>
          <w:color w:val="000000"/>
        </w:rPr>
      </w:pPr>
    </w:p>
    <w:p w14:paraId="30B63BC6" w14:textId="77777777" w:rsidR="00070362" w:rsidRDefault="00070362">
      <w:pPr>
        <w:pStyle w:val="Header"/>
        <w:tabs>
          <w:tab w:val="clear" w:pos="4320"/>
          <w:tab w:val="clear" w:pos="8640"/>
        </w:tabs>
        <w:rPr>
          <w:snapToGrid/>
          <w:color w:val="000000"/>
        </w:rPr>
      </w:pPr>
      <w:r>
        <w:rPr>
          <w:snapToGrid/>
          <w:color w:val="000000"/>
        </w:rPr>
        <w:t>The maintenance windows are based on central time across the country (</w:t>
      </w:r>
      <w:proofErr w:type="gramStart"/>
      <w:r>
        <w:rPr>
          <w:snapToGrid/>
          <w:color w:val="000000"/>
        </w:rPr>
        <w:t>i.e.</w:t>
      </w:r>
      <w:proofErr w:type="gramEnd"/>
      <w:r>
        <w:rPr>
          <w:snapToGrid/>
          <w:color w:val="000000"/>
        </w:rPr>
        <w:t xml:space="preserve"> they do not vary by region).</w:t>
      </w:r>
    </w:p>
    <w:p w14:paraId="5A1FDD9D" w14:textId="77777777" w:rsidR="00070362" w:rsidRDefault="00070362">
      <w:pPr>
        <w:pStyle w:val="Header"/>
        <w:tabs>
          <w:tab w:val="clear" w:pos="4320"/>
          <w:tab w:val="clear" w:pos="8640"/>
        </w:tabs>
        <w:rPr>
          <w:snapToGrid/>
          <w:color w:val="000000"/>
        </w:rPr>
      </w:pPr>
    </w:p>
    <w:p w14:paraId="1385C334" w14:textId="77777777" w:rsidR="00070362" w:rsidRDefault="00070362" w:rsidP="00070362">
      <w:pPr>
        <w:pStyle w:val="Header"/>
        <w:numPr>
          <w:ilvl w:val="0"/>
          <w:numId w:val="8"/>
        </w:numPr>
        <w:tabs>
          <w:tab w:val="clear" w:pos="4320"/>
          <w:tab w:val="clear" w:pos="8640"/>
        </w:tabs>
        <w:rPr>
          <w:snapToGrid/>
          <w:color w:val="000000"/>
        </w:rPr>
      </w:pPr>
      <w:r>
        <w:rPr>
          <w:i/>
          <w:iCs/>
          <w:snapToGrid/>
          <w:color w:val="000000"/>
        </w:rPr>
        <w:t>Standard Weekly 6-Hour SP Maintenance Window</w:t>
      </w:r>
      <w:r>
        <w:rPr>
          <w:snapToGrid/>
          <w:color w:val="000000"/>
        </w:rPr>
        <w:t xml:space="preserve"> – The WNPO agreed upon midnight to 6am central time on Sunday mornings.  </w:t>
      </w:r>
      <w:r>
        <w:rPr>
          <w:b/>
          <w:bCs/>
          <w:snapToGrid/>
          <w:color w:val="000000"/>
          <w:highlight w:val="yellow"/>
          <w:u w:val="single"/>
        </w:rPr>
        <w:t>ACTION:</w:t>
      </w:r>
      <w:r>
        <w:rPr>
          <w:snapToGrid/>
          <w:color w:val="000000"/>
        </w:rPr>
        <w:t xml:space="preserve"> The WNPO will propose a standard maintenance window of midnight to 6am (central) on Sunday mornings to the LNPA Working Group (Jim Grasser).  Two items that were brought up during the discussion include:</w:t>
      </w:r>
    </w:p>
    <w:p w14:paraId="0D9E5C57" w14:textId="77777777" w:rsidR="00070362" w:rsidRDefault="00070362">
      <w:pPr>
        <w:pStyle w:val="Header"/>
        <w:tabs>
          <w:tab w:val="clear" w:pos="4320"/>
          <w:tab w:val="clear" w:pos="8640"/>
        </w:tabs>
        <w:rPr>
          <w:snapToGrid/>
          <w:color w:val="000000"/>
        </w:rPr>
      </w:pPr>
    </w:p>
    <w:p w14:paraId="0F491CCC"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A study was conducted for the LLC which demonstrated that the number of activations during the holiday season on Sundays for wireless SPs was greater than wireline activations on any other day of the week.  So, even though wireless activations on Sundays represented only 5% of the total, it was still greater than any other day for wireline.  </w:t>
      </w:r>
    </w:p>
    <w:p w14:paraId="02E27184"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Starting the maintenance window at midnight central time would only cause a problem in Hawaii for 6 months out of the year because that state does not participate in daylight savings (</w:t>
      </w:r>
      <w:proofErr w:type="gramStart"/>
      <w:r>
        <w:rPr>
          <w:snapToGrid/>
          <w:color w:val="000000"/>
        </w:rPr>
        <w:t>i.e.</w:t>
      </w:r>
      <w:proofErr w:type="gramEnd"/>
      <w:r>
        <w:rPr>
          <w:snapToGrid/>
          <w:color w:val="000000"/>
        </w:rPr>
        <w:t xml:space="preserve"> there is only a 4 hour difference for 6 months out of the year).</w:t>
      </w:r>
    </w:p>
    <w:p w14:paraId="4429794B" w14:textId="77777777" w:rsidR="00070362" w:rsidRDefault="00070362">
      <w:pPr>
        <w:pStyle w:val="Header"/>
        <w:tabs>
          <w:tab w:val="clear" w:pos="4320"/>
          <w:tab w:val="clear" w:pos="8640"/>
        </w:tabs>
        <w:ind w:left="360"/>
        <w:rPr>
          <w:snapToGrid/>
          <w:color w:val="000000"/>
        </w:rPr>
      </w:pPr>
    </w:p>
    <w:p w14:paraId="061F0FC3" w14:textId="77777777" w:rsidR="00070362" w:rsidRDefault="00070362" w:rsidP="00070362">
      <w:pPr>
        <w:pStyle w:val="Header"/>
        <w:numPr>
          <w:ilvl w:val="0"/>
          <w:numId w:val="8"/>
        </w:numPr>
        <w:tabs>
          <w:tab w:val="clear" w:pos="4320"/>
          <w:tab w:val="clear" w:pos="8640"/>
        </w:tabs>
        <w:rPr>
          <w:snapToGrid/>
          <w:color w:val="000000"/>
        </w:rPr>
      </w:pPr>
      <w:r>
        <w:rPr>
          <w:i/>
          <w:iCs/>
          <w:snapToGrid/>
          <w:color w:val="000000"/>
        </w:rPr>
        <w:t>Extended Monthly SP Maintenance Window</w:t>
      </w:r>
      <w:r>
        <w:rPr>
          <w:snapToGrid/>
          <w:color w:val="000000"/>
        </w:rPr>
        <w:t xml:space="preserve"> – The WNPO agreed upon an 11-hour window from midnight to 11am central time on the first Sunday of every month.  </w:t>
      </w:r>
      <w:r>
        <w:rPr>
          <w:b/>
          <w:bCs/>
          <w:snapToGrid/>
          <w:color w:val="000000"/>
          <w:highlight w:val="yellow"/>
          <w:u w:val="single"/>
        </w:rPr>
        <w:t>ACTION:</w:t>
      </w:r>
      <w:r>
        <w:rPr>
          <w:snapToGrid/>
          <w:color w:val="000000"/>
        </w:rPr>
        <w:t xml:space="preserve"> The WNPO will propose midnight to </w:t>
      </w:r>
      <w:r>
        <w:rPr>
          <w:snapToGrid/>
          <w:color w:val="000000"/>
        </w:rPr>
        <w:lastRenderedPageBreak/>
        <w:t xml:space="preserve">11am central the first Sunday of every month to the LNPA Working Group for the extended SP maintenance window (Jim Grasser).  Following </w:t>
      </w:r>
      <w:proofErr w:type="gramStart"/>
      <w:r>
        <w:rPr>
          <w:snapToGrid/>
          <w:color w:val="000000"/>
        </w:rPr>
        <w:t>are</w:t>
      </w:r>
      <w:proofErr w:type="gramEnd"/>
      <w:r>
        <w:rPr>
          <w:snapToGrid/>
          <w:color w:val="000000"/>
        </w:rPr>
        <w:t xml:space="preserve"> some of the items that were discussed:</w:t>
      </w:r>
    </w:p>
    <w:p w14:paraId="70AC6A54" w14:textId="77777777" w:rsidR="00070362" w:rsidRDefault="00070362">
      <w:pPr>
        <w:pStyle w:val="Header"/>
        <w:tabs>
          <w:tab w:val="clear" w:pos="4320"/>
          <w:tab w:val="clear" w:pos="8640"/>
        </w:tabs>
        <w:rPr>
          <w:snapToGrid/>
          <w:color w:val="000000"/>
        </w:rPr>
      </w:pPr>
    </w:p>
    <w:p w14:paraId="21780517"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Currently the extended SP maintenance window is 12 hours long from 6am to 6pm central.  </w:t>
      </w:r>
    </w:p>
    <w:p w14:paraId="1467FE7A" w14:textId="77777777" w:rsidR="00070362" w:rsidRDefault="00070362" w:rsidP="00070362">
      <w:pPr>
        <w:pStyle w:val="Header"/>
        <w:numPr>
          <w:ilvl w:val="1"/>
          <w:numId w:val="8"/>
        </w:numPr>
        <w:tabs>
          <w:tab w:val="clear" w:pos="4320"/>
          <w:tab w:val="clear" w:pos="8640"/>
        </w:tabs>
        <w:rPr>
          <w:snapToGrid/>
          <w:color w:val="000000"/>
        </w:rPr>
      </w:pPr>
      <w:proofErr w:type="spellStart"/>
      <w:r>
        <w:rPr>
          <w:snapToGrid/>
          <w:color w:val="000000"/>
        </w:rPr>
        <w:t>Illuminet</w:t>
      </w:r>
      <w:proofErr w:type="spellEnd"/>
      <w:r>
        <w:rPr>
          <w:snapToGrid/>
          <w:color w:val="000000"/>
        </w:rPr>
        <w:t xml:space="preserve"> would have preferred a 12-hour extended SP maintenance window from midnight to noon central.</w:t>
      </w:r>
    </w:p>
    <w:p w14:paraId="749A4DDB" w14:textId="77777777" w:rsidR="00070362" w:rsidRDefault="00070362" w:rsidP="00070362">
      <w:pPr>
        <w:pStyle w:val="Header"/>
        <w:numPr>
          <w:ilvl w:val="1"/>
          <w:numId w:val="8"/>
        </w:numPr>
        <w:tabs>
          <w:tab w:val="clear" w:pos="4320"/>
          <w:tab w:val="clear" w:pos="8640"/>
        </w:tabs>
        <w:rPr>
          <w:snapToGrid/>
          <w:color w:val="000000"/>
        </w:rPr>
      </w:pPr>
      <w:proofErr w:type="spellStart"/>
      <w:r>
        <w:rPr>
          <w:snapToGrid/>
          <w:color w:val="000000"/>
        </w:rPr>
        <w:t>NeuStar</w:t>
      </w:r>
      <w:proofErr w:type="spellEnd"/>
      <w:r>
        <w:rPr>
          <w:snapToGrid/>
          <w:color w:val="000000"/>
        </w:rPr>
        <w:t xml:space="preserve"> uses the first 6 hours of the current extended maintenance window for their maintenance activities (</w:t>
      </w:r>
      <w:proofErr w:type="gramStart"/>
      <w:r>
        <w:rPr>
          <w:snapToGrid/>
          <w:color w:val="000000"/>
        </w:rPr>
        <w:t>i.e.</w:t>
      </w:r>
      <w:proofErr w:type="gramEnd"/>
      <w:r>
        <w:rPr>
          <w:snapToGrid/>
          <w:color w:val="000000"/>
        </w:rPr>
        <w:t xml:space="preserve"> 6am to noon central).  </w:t>
      </w:r>
    </w:p>
    <w:p w14:paraId="5EA9CBF5"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Some hardware or software upgrades require at least 12 hours.  If SPs need more than the current 12-hour period, then carriers must notify </w:t>
      </w:r>
      <w:proofErr w:type="spellStart"/>
      <w:r>
        <w:rPr>
          <w:snapToGrid/>
          <w:color w:val="000000"/>
        </w:rPr>
        <w:t>NeuStar</w:t>
      </w:r>
      <w:proofErr w:type="spellEnd"/>
      <w:r>
        <w:rPr>
          <w:snapToGrid/>
          <w:color w:val="000000"/>
        </w:rPr>
        <w:t xml:space="preserve"> in advance and </w:t>
      </w:r>
      <w:proofErr w:type="spellStart"/>
      <w:r>
        <w:rPr>
          <w:snapToGrid/>
          <w:color w:val="000000"/>
        </w:rPr>
        <w:t>NeuStar</w:t>
      </w:r>
      <w:proofErr w:type="spellEnd"/>
      <w:r>
        <w:rPr>
          <w:snapToGrid/>
          <w:color w:val="000000"/>
        </w:rPr>
        <w:t xml:space="preserve"> will send out a notification to all SPs.</w:t>
      </w:r>
    </w:p>
    <w:p w14:paraId="33026A85"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Wireline SPs do a lot of complex ports on Saturday and Saturday nights, so they do not want the maintenance window to start any earlier than midnight on Sunday morning.  </w:t>
      </w:r>
    </w:p>
    <w:p w14:paraId="7EBD3519" w14:textId="77777777" w:rsidR="00070362" w:rsidRDefault="00070362">
      <w:pPr>
        <w:pStyle w:val="Header"/>
        <w:tabs>
          <w:tab w:val="clear" w:pos="4320"/>
          <w:tab w:val="clear" w:pos="8640"/>
        </w:tabs>
        <w:ind w:left="360"/>
        <w:rPr>
          <w:snapToGrid/>
          <w:color w:val="000000"/>
        </w:rPr>
      </w:pPr>
    </w:p>
    <w:p w14:paraId="3BAAF68B" w14:textId="77777777" w:rsidR="00070362" w:rsidRDefault="00070362" w:rsidP="00070362">
      <w:pPr>
        <w:pStyle w:val="Header"/>
        <w:numPr>
          <w:ilvl w:val="0"/>
          <w:numId w:val="8"/>
        </w:numPr>
        <w:tabs>
          <w:tab w:val="clear" w:pos="4320"/>
          <w:tab w:val="clear" w:pos="8640"/>
        </w:tabs>
        <w:rPr>
          <w:snapToGrid/>
          <w:color w:val="000000"/>
        </w:rPr>
      </w:pPr>
      <w:r>
        <w:rPr>
          <w:i/>
          <w:iCs/>
          <w:snapToGrid/>
          <w:color w:val="000000"/>
        </w:rPr>
        <w:t>Should Timers Run During the SP Maintenance Windows?</w:t>
      </w:r>
    </w:p>
    <w:p w14:paraId="28C11315" w14:textId="77777777" w:rsidR="00070362" w:rsidRDefault="00070362">
      <w:pPr>
        <w:pStyle w:val="Header"/>
        <w:tabs>
          <w:tab w:val="clear" w:pos="4320"/>
          <w:tab w:val="clear" w:pos="8640"/>
        </w:tabs>
        <w:ind w:left="360"/>
        <w:rPr>
          <w:snapToGrid/>
          <w:color w:val="000000"/>
        </w:rPr>
      </w:pPr>
    </w:p>
    <w:p w14:paraId="1205C547" w14:textId="77777777" w:rsidR="00070362" w:rsidRDefault="00070362">
      <w:pPr>
        <w:pStyle w:val="Header"/>
        <w:tabs>
          <w:tab w:val="clear" w:pos="4320"/>
          <w:tab w:val="clear" w:pos="8640"/>
        </w:tabs>
        <w:ind w:left="360"/>
        <w:rPr>
          <w:snapToGrid/>
          <w:color w:val="000000"/>
        </w:rPr>
      </w:pPr>
      <w:r>
        <w:rPr>
          <w:snapToGrid/>
          <w:color w:val="000000"/>
        </w:rPr>
        <w:t>The WNPO decided that the timers should run during the SP maintenance windows, and it will be expected that SPs will agree not to port during the maintenance windows.  Following are some points made during the discussion:</w:t>
      </w:r>
    </w:p>
    <w:p w14:paraId="026DF490" w14:textId="77777777" w:rsidR="00070362" w:rsidRDefault="00070362">
      <w:pPr>
        <w:pStyle w:val="Header"/>
        <w:tabs>
          <w:tab w:val="clear" w:pos="4320"/>
          <w:tab w:val="clear" w:pos="8640"/>
        </w:tabs>
        <w:rPr>
          <w:snapToGrid/>
          <w:color w:val="000000"/>
        </w:rPr>
      </w:pPr>
    </w:p>
    <w:p w14:paraId="4F4BDB87"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The timers run during the business hours and with the addition of Sundays from 9am to 9pm there will be an overlap between the business hours and the extended SP maintenance window.   This was not an issue with wireline SPs because timers did not </w:t>
      </w:r>
      <w:proofErr w:type="gramStart"/>
      <w:r>
        <w:rPr>
          <w:snapToGrid/>
          <w:color w:val="000000"/>
        </w:rPr>
        <w:t>run on</w:t>
      </w:r>
      <w:proofErr w:type="gramEnd"/>
      <w:r>
        <w:rPr>
          <w:snapToGrid/>
          <w:color w:val="000000"/>
        </w:rPr>
        <w:t xml:space="preserve"> Sundays.</w:t>
      </w:r>
    </w:p>
    <w:p w14:paraId="2C31B21F"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If timers are running during SP maintenance </w:t>
      </w:r>
      <w:proofErr w:type="gramStart"/>
      <w:r>
        <w:rPr>
          <w:snapToGrid/>
          <w:color w:val="000000"/>
        </w:rPr>
        <w:t>windows</w:t>
      </w:r>
      <w:proofErr w:type="gramEnd"/>
      <w:r>
        <w:rPr>
          <w:snapToGrid/>
          <w:color w:val="000000"/>
        </w:rPr>
        <w:t xml:space="preserve"> then timers will expire while SPs are not able to process ports.  If the timers continue to run and the OSP does not know that they have a port request, the impact is minimal because the NSP can activate a new handset for the customer.  If the NSP is down, then the impact is greater.</w:t>
      </w:r>
    </w:p>
    <w:p w14:paraId="098B2535"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A major benefit of not running timers during the SP maintenance window is that it would pose less risk for a SP coming back online – there would be no risk that there were changes in the database while they were offline.  However, not running timers during the SP maintenance window would require a change order with the NPAC, as well as changes to SOA software.  There is a possibility that the NPAC could manually change the timer settings once a month to accommodate the extended SP maintenance window, however, the team did not believe this to be a suitable option.</w:t>
      </w:r>
    </w:p>
    <w:p w14:paraId="3A1F22D8"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The maintenance hours will be known ahead of time, so SPs could agree to a porting timeframe of longer than 2.5 hours to accommodate the maintenance windows.   SPs need to include this in their Service Level Agreements (SLAs) with other SPs.  This would allow the timers to run during the maintenance windows and would not require a change order for the NPAC.</w:t>
      </w:r>
    </w:p>
    <w:p w14:paraId="578881F9" w14:textId="77777777" w:rsidR="00070362" w:rsidRDefault="00070362">
      <w:pPr>
        <w:pStyle w:val="Header"/>
        <w:tabs>
          <w:tab w:val="clear" w:pos="4320"/>
          <w:tab w:val="clear" w:pos="8640"/>
        </w:tabs>
        <w:ind w:left="360"/>
        <w:rPr>
          <w:snapToGrid/>
          <w:color w:val="000000"/>
        </w:rPr>
      </w:pPr>
    </w:p>
    <w:p w14:paraId="2AEF0E91" w14:textId="77777777" w:rsidR="00070362" w:rsidRDefault="00070362" w:rsidP="00070362">
      <w:pPr>
        <w:pStyle w:val="Header"/>
        <w:numPr>
          <w:ilvl w:val="0"/>
          <w:numId w:val="8"/>
        </w:numPr>
        <w:tabs>
          <w:tab w:val="clear" w:pos="4320"/>
          <w:tab w:val="clear" w:pos="8640"/>
        </w:tabs>
        <w:rPr>
          <w:snapToGrid/>
          <w:color w:val="000000"/>
        </w:rPr>
      </w:pPr>
      <w:r>
        <w:rPr>
          <w:i/>
          <w:iCs/>
          <w:snapToGrid/>
          <w:color w:val="000000"/>
        </w:rPr>
        <w:t xml:space="preserve">NPAC Maintenance Window </w:t>
      </w:r>
    </w:p>
    <w:p w14:paraId="300E93BD" w14:textId="77777777" w:rsidR="00070362" w:rsidRDefault="00070362">
      <w:pPr>
        <w:pStyle w:val="Header"/>
        <w:tabs>
          <w:tab w:val="clear" w:pos="4320"/>
          <w:tab w:val="clear" w:pos="8640"/>
        </w:tabs>
        <w:rPr>
          <w:snapToGrid/>
          <w:color w:val="000000"/>
        </w:rPr>
      </w:pPr>
    </w:p>
    <w:p w14:paraId="3A4682F1" w14:textId="77777777" w:rsidR="00070362" w:rsidRDefault="00070362">
      <w:pPr>
        <w:pStyle w:val="Header"/>
        <w:tabs>
          <w:tab w:val="clear" w:pos="4320"/>
          <w:tab w:val="clear" w:pos="8640"/>
        </w:tabs>
        <w:ind w:left="360"/>
        <w:rPr>
          <w:snapToGrid/>
          <w:color w:val="000000"/>
        </w:rPr>
      </w:pPr>
      <w:r>
        <w:rPr>
          <w:snapToGrid/>
          <w:color w:val="000000"/>
        </w:rPr>
        <w:t>A discussion of the NPAC maintenance window has been tabled until agreement is reached at the LNPA Working Group on the SP maintenance windows proposed by the WNPO.</w:t>
      </w:r>
    </w:p>
    <w:p w14:paraId="3E1A23C1" w14:textId="77777777" w:rsidR="00070362" w:rsidRDefault="00070362">
      <w:pPr>
        <w:pStyle w:val="Header"/>
        <w:tabs>
          <w:tab w:val="clear" w:pos="4320"/>
          <w:tab w:val="clear" w:pos="8640"/>
        </w:tabs>
        <w:ind w:left="360"/>
        <w:rPr>
          <w:snapToGrid/>
          <w:color w:val="000000"/>
        </w:rPr>
      </w:pPr>
    </w:p>
    <w:p w14:paraId="0BDA728A" w14:textId="77777777" w:rsidR="00070362" w:rsidRDefault="00070362">
      <w:pPr>
        <w:pStyle w:val="Header"/>
        <w:tabs>
          <w:tab w:val="clear" w:pos="4320"/>
          <w:tab w:val="clear" w:pos="8640"/>
        </w:tabs>
        <w:ind w:left="360"/>
        <w:rPr>
          <w:snapToGrid/>
          <w:color w:val="000000"/>
        </w:rPr>
      </w:pPr>
      <w:r>
        <w:rPr>
          <w:snapToGrid/>
          <w:color w:val="000000"/>
        </w:rPr>
        <w:t>The NPAC maintenance window will need to be sometime during the SP maintenance window.  If the NPAC maintenance window hours are changed, it may require a contract change.</w:t>
      </w:r>
    </w:p>
    <w:p w14:paraId="5668E04A" w14:textId="77777777" w:rsidR="00070362" w:rsidRDefault="00070362">
      <w:pPr>
        <w:pStyle w:val="Header"/>
        <w:tabs>
          <w:tab w:val="clear" w:pos="4320"/>
          <w:tab w:val="clear" w:pos="8640"/>
        </w:tabs>
        <w:ind w:left="360"/>
        <w:rPr>
          <w:snapToGrid/>
          <w:color w:val="000000"/>
        </w:rPr>
      </w:pPr>
    </w:p>
    <w:p w14:paraId="10714DA7" w14:textId="77777777" w:rsidR="00070362" w:rsidRDefault="00070362" w:rsidP="00070362">
      <w:pPr>
        <w:pStyle w:val="Header"/>
        <w:numPr>
          <w:ilvl w:val="0"/>
          <w:numId w:val="8"/>
        </w:numPr>
        <w:tabs>
          <w:tab w:val="clear" w:pos="4320"/>
          <w:tab w:val="clear" w:pos="8640"/>
        </w:tabs>
        <w:rPr>
          <w:snapToGrid/>
          <w:color w:val="000000"/>
        </w:rPr>
      </w:pPr>
      <w:r>
        <w:rPr>
          <w:i/>
          <w:iCs/>
          <w:snapToGrid/>
          <w:color w:val="000000"/>
        </w:rPr>
        <w:t xml:space="preserve">Maintenance Window &amp; </w:t>
      </w:r>
      <w:proofErr w:type="spellStart"/>
      <w:r>
        <w:rPr>
          <w:i/>
          <w:iCs/>
          <w:snapToGrid/>
          <w:color w:val="000000"/>
        </w:rPr>
        <w:t>Tuneable</w:t>
      </w:r>
      <w:proofErr w:type="spellEnd"/>
      <w:r>
        <w:rPr>
          <w:i/>
          <w:iCs/>
          <w:snapToGrid/>
          <w:color w:val="000000"/>
        </w:rPr>
        <w:t xml:space="preserve"> Timeframes Across Regions</w:t>
      </w:r>
    </w:p>
    <w:p w14:paraId="65BCC02E" w14:textId="77777777" w:rsidR="00070362" w:rsidRDefault="00070362">
      <w:pPr>
        <w:pStyle w:val="Header"/>
        <w:tabs>
          <w:tab w:val="clear" w:pos="4320"/>
          <w:tab w:val="clear" w:pos="8640"/>
        </w:tabs>
        <w:rPr>
          <w:snapToGrid/>
          <w:color w:val="000000"/>
        </w:rPr>
      </w:pPr>
    </w:p>
    <w:p w14:paraId="15258D9D" w14:textId="77777777" w:rsidR="00070362" w:rsidRDefault="00070362" w:rsidP="00070362">
      <w:pPr>
        <w:pStyle w:val="Header"/>
        <w:numPr>
          <w:ilvl w:val="1"/>
          <w:numId w:val="8"/>
        </w:numPr>
        <w:tabs>
          <w:tab w:val="clear" w:pos="4320"/>
          <w:tab w:val="clear" w:pos="8640"/>
        </w:tabs>
        <w:rPr>
          <w:snapToGrid/>
          <w:color w:val="000000"/>
        </w:rPr>
      </w:pPr>
      <w:r>
        <w:rPr>
          <w:snapToGrid/>
          <w:color w:val="000000"/>
        </w:rPr>
        <w:t xml:space="preserve">Maintenance is currently set to central time for all regions.  A team member questioned whether the maintenance window should vary by region, instead of being set to central time for all regions.  Other team members stated that some SPs use the same system across regions, so it is easier to use central time across all regions for maintenance.  </w:t>
      </w:r>
    </w:p>
    <w:p w14:paraId="5CB67EE6" w14:textId="77777777" w:rsidR="00070362" w:rsidRDefault="00070362" w:rsidP="00070362">
      <w:pPr>
        <w:pStyle w:val="Header"/>
        <w:numPr>
          <w:ilvl w:val="1"/>
          <w:numId w:val="8"/>
        </w:numPr>
        <w:tabs>
          <w:tab w:val="clear" w:pos="4320"/>
          <w:tab w:val="clear" w:pos="8640"/>
        </w:tabs>
        <w:rPr>
          <w:snapToGrid/>
          <w:color w:val="000000"/>
          <w:u w:val="single"/>
        </w:rPr>
      </w:pPr>
      <w:r>
        <w:rPr>
          <w:snapToGrid/>
          <w:color w:val="000000"/>
        </w:rPr>
        <w:t xml:space="preserve">Business day hours differ by the time zone for each region.  The predominant time zone for each region is used.  </w:t>
      </w:r>
      <w:r>
        <w:rPr>
          <w:b/>
          <w:bCs/>
          <w:snapToGrid/>
          <w:color w:val="000000"/>
          <w:highlight w:val="yellow"/>
          <w:u w:val="single"/>
        </w:rPr>
        <w:t>ACTION:</w:t>
      </w:r>
      <w:r>
        <w:rPr>
          <w:b/>
          <w:bCs/>
          <w:snapToGrid/>
          <w:color w:val="000000"/>
          <w:u w:val="single"/>
        </w:rPr>
        <w:t xml:space="preserve"> </w:t>
      </w:r>
      <w:r>
        <w:rPr>
          <w:snapToGrid/>
          <w:color w:val="000000"/>
        </w:rPr>
        <w:t xml:space="preserve">Need a contribution documenting the regional time zones for discussion in January. (Jim Grasser &amp; Brigitte </w:t>
      </w:r>
      <w:proofErr w:type="gramStart"/>
      <w:r>
        <w:rPr>
          <w:snapToGrid/>
          <w:color w:val="000000"/>
        </w:rPr>
        <w:t xml:space="preserve">Brown)  </w:t>
      </w:r>
      <w:r>
        <w:rPr>
          <w:b/>
          <w:bCs/>
          <w:snapToGrid/>
          <w:color w:val="000000"/>
          <w:highlight w:val="yellow"/>
          <w:u w:val="single"/>
        </w:rPr>
        <w:t>ACTION</w:t>
      </w:r>
      <w:proofErr w:type="gramEnd"/>
      <w:r>
        <w:rPr>
          <w:b/>
          <w:bCs/>
          <w:snapToGrid/>
          <w:color w:val="000000"/>
          <w:highlight w:val="yellow"/>
          <w:u w:val="single"/>
        </w:rPr>
        <w:t>:</w:t>
      </w:r>
      <w:r>
        <w:rPr>
          <w:b/>
          <w:bCs/>
          <w:snapToGrid/>
          <w:color w:val="000000"/>
          <w:u w:val="single"/>
        </w:rPr>
        <w:t xml:space="preserve"> </w:t>
      </w:r>
      <w:r>
        <w:rPr>
          <w:snapToGrid/>
          <w:color w:val="000000"/>
        </w:rPr>
        <w:t>SPs to be prepared to discuss having the business timers differ by region, regardless of what the time zone for an area within the region might be.</w:t>
      </w:r>
    </w:p>
    <w:p w14:paraId="602F269A" w14:textId="77777777" w:rsidR="00070362" w:rsidRDefault="00070362">
      <w:pPr>
        <w:pStyle w:val="Header"/>
        <w:tabs>
          <w:tab w:val="clear" w:pos="4320"/>
          <w:tab w:val="clear" w:pos="8640"/>
        </w:tabs>
        <w:ind w:left="360"/>
        <w:rPr>
          <w:snapToGrid/>
          <w:color w:val="000000"/>
        </w:rPr>
      </w:pPr>
    </w:p>
    <w:p w14:paraId="0BE8D51D" w14:textId="77777777" w:rsidR="00070362" w:rsidRDefault="00070362">
      <w:pPr>
        <w:pStyle w:val="Header"/>
        <w:tabs>
          <w:tab w:val="clear" w:pos="4320"/>
          <w:tab w:val="clear" w:pos="8640"/>
        </w:tabs>
        <w:ind w:left="360"/>
        <w:rPr>
          <w:snapToGrid/>
          <w:color w:val="000000"/>
        </w:rPr>
      </w:pPr>
    </w:p>
    <w:p w14:paraId="7E4473FA" w14:textId="77777777" w:rsidR="00070362" w:rsidRDefault="00070362">
      <w:pPr>
        <w:pStyle w:val="Header"/>
        <w:tabs>
          <w:tab w:val="clear" w:pos="4320"/>
          <w:tab w:val="clear" w:pos="8640"/>
        </w:tabs>
        <w:ind w:left="360"/>
        <w:rPr>
          <w:snapToGrid/>
          <w:color w:val="000000"/>
        </w:rPr>
      </w:pPr>
    </w:p>
    <w:p w14:paraId="232231BD" w14:textId="77777777" w:rsidR="00070362" w:rsidRDefault="00070362">
      <w:pPr>
        <w:pStyle w:val="Header"/>
        <w:tabs>
          <w:tab w:val="clear" w:pos="4320"/>
          <w:tab w:val="clear" w:pos="8640"/>
        </w:tabs>
        <w:rPr>
          <w:snapToGrid/>
          <w:color w:val="000000"/>
          <w:sz w:val="24"/>
          <w:u w:val="single"/>
        </w:rPr>
      </w:pPr>
      <w:r>
        <w:rPr>
          <w:snapToGrid/>
          <w:color w:val="000000"/>
          <w:sz w:val="24"/>
          <w:u w:val="single"/>
        </w:rPr>
        <w:lastRenderedPageBreak/>
        <w:t>Contract Revision for NPAC Personnel Working Sundays &amp; Longer Business Days:</w:t>
      </w:r>
    </w:p>
    <w:p w14:paraId="71DAD322" w14:textId="77777777" w:rsidR="00070362" w:rsidRDefault="00070362">
      <w:pPr>
        <w:pStyle w:val="Header"/>
        <w:tabs>
          <w:tab w:val="clear" w:pos="4320"/>
          <w:tab w:val="clear" w:pos="8640"/>
        </w:tabs>
        <w:rPr>
          <w:snapToGrid/>
          <w:color w:val="000000"/>
        </w:rPr>
      </w:pPr>
    </w:p>
    <w:p w14:paraId="72E2B762" w14:textId="77777777" w:rsidR="00070362" w:rsidRDefault="00070362">
      <w:pPr>
        <w:pStyle w:val="Header"/>
        <w:tabs>
          <w:tab w:val="clear" w:pos="4320"/>
          <w:tab w:val="clear" w:pos="8640"/>
        </w:tabs>
        <w:rPr>
          <w:snapToGrid/>
          <w:color w:val="000000"/>
        </w:rPr>
      </w:pPr>
      <w:r>
        <w:rPr>
          <w:snapToGrid/>
          <w:color w:val="000000"/>
        </w:rPr>
        <w:t xml:space="preserve">A revision is needed in the NPAC contract to address business days starting to include Sundays and business days covering an additional two hours per day (wireline business days are 7am to 7pm and wireless will be 9am to 9pm, so the NPAC will need to cover 7am to 9pm).  </w:t>
      </w:r>
    </w:p>
    <w:p w14:paraId="7EA22A80" w14:textId="77777777" w:rsidR="00070362" w:rsidRDefault="00070362">
      <w:pPr>
        <w:pStyle w:val="Header"/>
        <w:tabs>
          <w:tab w:val="clear" w:pos="4320"/>
          <w:tab w:val="clear" w:pos="8640"/>
        </w:tabs>
        <w:rPr>
          <w:snapToGrid/>
          <w:color w:val="000000"/>
        </w:rPr>
      </w:pPr>
    </w:p>
    <w:p w14:paraId="2E45731A" w14:textId="77777777" w:rsidR="00070362" w:rsidRDefault="00070362">
      <w:pPr>
        <w:pStyle w:val="Header"/>
        <w:tabs>
          <w:tab w:val="clear" w:pos="4320"/>
          <w:tab w:val="clear" w:pos="8640"/>
        </w:tabs>
        <w:rPr>
          <w:snapToGrid/>
          <w:color w:val="000000"/>
        </w:rPr>
      </w:pPr>
      <w:r>
        <w:rPr>
          <w:snapToGrid/>
          <w:color w:val="000000"/>
        </w:rPr>
        <w:t xml:space="preserve">The team discussed with the effective date for the changes to the </w:t>
      </w:r>
      <w:proofErr w:type="spellStart"/>
      <w:r>
        <w:rPr>
          <w:snapToGrid/>
          <w:color w:val="000000"/>
        </w:rPr>
        <w:t>Tuneables</w:t>
      </w:r>
      <w:proofErr w:type="spellEnd"/>
      <w:r>
        <w:rPr>
          <w:snapToGrid/>
          <w:color w:val="000000"/>
        </w:rPr>
        <w:t xml:space="preserve"> and maintenance windows (Note: the effective </w:t>
      </w:r>
      <w:proofErr w:type="gramStart"/>
      <w:r>
        <w:rPr>
          <w:snapToGrid/>
          <w:color w:val="000000"/>
        </w:rPr>
        <w:t>date  for</w:t>
      </w:r>
      <w:proofErr w:type="gramEnd"/>
      <w:r>
        <w:rPr>
          <w:snapToGrid/>
          <w:color w:val="000000"/>
        </w:rPr>
        <w:t xml:space="preserve"> the </w:t>
      </w:r>
      <w:proofErr w:type="spellStart"/>
      <w:r>
        <w:rPr>
          <w:snapToGrid/>
          <w:color w:val="000000"/>
        </w:rPr>
        <w:t>Tuneables</w:t>
      </w:r>
      <w:proofErr w:type="spellEnd"/>
      <w:r>
        <w:rPr>
          <w:snapToGrid/>
          <w:color w:val="000000"/>
        </w:rPr>
        <w:t xml:space="preserve"> changes should be considered separately from the effective date for the maintenance window changes).  Some team members indicated their belief that the changes should become effective at the beginning of November 2002 </w:t>
      </w:r>
      <w:proofErr w:type="gramStart"/>
      <w:r>
        <w:rPr>
          <w:snapToGrid/>
          <w:color w:val="000000"/>
        </w:rPr>
        <w:t>in order to</w:t>
      </w:r>
      <w:proofErr w:type="gramEnd"/>
      <w:r>
        <w:rPr>
          <w:snapToGrid/>
          <w:color w:val="000000"/>
        </w:rPr>
        <w:t xml:space="preserve"> accommodate intra-service provider ports and Type 1 trunk conversions.  Others indicated that those types of activities may occur as early as the Soft-Launch date of 9/1/02.    Team members indicated that they did not know of a specification in the mandate stating that SPs could not port before 11/24/02. One team member stated that if a SP wants to start porting on 9/1/02 it would have to provide notice 9 months ahead of time to the OSPs.  SPs who do not roam might be able to begin porting earlier.  </w:t>
      </w:r>
    </w:p>
    <w:p w14:paraId="395D7700" w14:textId="77777777" w:rsidR="00070362" w:rsidRDefault="00070362">
      <w:pPr>
        <w:pStyle w:val="Header"/>
        <w:tabs>
          <w:tab w:val="clear" w:pos="4320"/>
          <w:tab w:val="clear" w:pos="8640"/>
        </w:tabs>
        <w:rPr>
          <w:snapToGrid/>
          <w:color w:val="000000"/>
        </w:rPr>
      </w:pPr>
    </w:p>
    <w:p w14:paraId="51AB0A93"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All team members to determine what the effective date should be for the </w:t>
      </w:r>
      <w:proofErr w:type="spellStart"/>
      <w:r>
        <w:rPr>
          <w:snapToGrid/>
          <w:color w:val="000000"/>
        </w:rPr>
        <w:t>tuneables</w:t>
      </w:r>
      <w:proofErr w:type="spellEnd"/>
      <w:r>
        <w:rPr>
          <w:snapToGrid/>
          <w:color w:val="000000"/>
        </w:rPr>
        <w:t xml:space="preserve"> changes.</w:t>
      </w:r>
    </w:p>
    <w:p w14:paraId="29C17F7F" w14:textId="77777777" w:rsidR="00070362" w:rsidRDefault="00070362">
      <w:pPr>
        <w:pStyle w:val="Header"/>
        <w:tabs>
          <w:tab w:val="clear" w:pos="4320"/>
          <w:tab w:val="clear" w:pos="8640"/>
        </w:tabs>
        <w:rPr>
          <w:snapToGrid/>
          <w:color w:val="000000"/>
        </w:rPr>
      </w:pPr>
    </w:p>
    <w:p w14:paraId="7F44F9A8"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All team members to determine what the effective date should be for the maintenance window changes.</w:t>
      </w:r>
    </w:p>
    <w:p w14:paraId="142AB006" w14:textId="77777777" w:rsidR="00070362" w:rsidRDefault="00070362">
      <w:pPr>
        <w:pStyle w:val="Header"/>
        <w:tabs>
          <w:tab w:val="clear" w:pos="4320"/>
          <w:tab w:val="clear" w:pos="8640"/>
        </w:tabs>
        <w:rPr>
          <w:snapToGrid/>
          <w:color w:val="000000"/>
        </w:rPr>
      </w:pPr>
    </w:p>
    <w:p w14:paraId="44AF91BF"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WNPO to write a letter to the LLC indicating the recommendation for the maintenance windows and </w:t>
      </w:r>
      <w:proofErr w:type="spellStart"/>
      <w:r>
        <w:rPr>
          <w:snapToGrid/>
          <w:color w:val="000000"/>
        </w:rPr>
        <w:t>Tuneables</w:t>
      </w:r>
      <w:proofErr w:type="spellEnd"/>
      <w:r>
        <w:rPr>
          <w:snapToGrid/>
          <w:color w:val="000000"/>
        </w:rPr>
        <w:t>.  Before the letter can be sent effective dates must be finalized and there must be agreement at the LNPA WG on the settings and dates. (Jim Grasser)</w:t>
      </w:r>
    </w:p>
    <w:p w14:paraId="1E7735BD" w14:textId="77777777" w:rsidR="00070362" w:rsidRDefault="00070362">
      <w:pPr>
        <w:pStyle w:val="Header"/>
        <w:tabs>
          <w:tab w:val="clear" w:pos="4320"/>
          <w:tab w:val="clear" w:pos="8640"/>
        </w:tabs>
        <w:rPr>
          <w:snapToGrid/>
          <w:color w:val="000000"/>
        </w:rPr>
      </w:pPr>
    </w:p>
    <w:p w14:paraId="5E5555F8" w14:textId="77777777" w:rsidR="00070362" w:rsidRDefault="00070362">
      <w:pPr>
        <w:pStyle w:val="Header"/>
        <w:tabs>
          <w:tab w:val="clear" w:pos="4320"/>
          <w:tab w:val="clear" w:pos="8640"/>
        </w:tabs>
        <w:rPr>
          <w:snapToGrid/>
          <w:color w:val="000000"/>
        </w:rPr>
      </w:pPr>
    </w:p>
    <w:p w14:paraId="0AD001C9" w14:textId="77777777" w:rsidR="00070362" w:rsidRDefault="00070362">
      <w:pPr>
        <w:pStyle w:val="Header"/>
        <w:tabs>
          <w:tab w:val="clear" w:pos="4320"/>
          <w:tab w:val="clear" w:pos="8640"/>
        </w:tabs>
        <w:rPr>
          <w:snapToGrid/>
          <w:color w:val="000000"/>
        </w:rPr>
      </w:pPr>
    </w:p>
    <w:p w14:paraId="68E124B4"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 xml:space="preserve">NPDB Capacity &amp; Throughput Models – Maggie Lee’s &amp; Anne </w:t>
      </w:r>
      <w:proofErr w:type="spellStart"/>
      <w:r>
        <w:rPr>
          <w:snapToGrid/>
          <w:color w:val="000000"/>
          <w:sz w:val="24"/>
          <w:u w:val="single"/>
        </w:rPr>
        <w:t>Cummin’s</w:t>
      </w:r>
      <w:proofErr w:type="spellEnd"/>
      <w:r>
        <w:rPr>
          <w:snapToGrid/>
          <w:color w:val="000000"/>
          <w:sz w:val="24"/>
          <w:u w:val="single"/>
        </w:rPr>
        <w:t xml:space="preserve"> Contributions:</w:t>
      </w:r>
    </w:p>
    <w:p w14:paraId="2049FF6F" w14:textId="77777777" w:rsidR="00070362" w:rsidRDefault="00070362">
      <w:pPr>
        <w:pStyle w:val="Header"/>
        <w:tabs>
          <w:tab w:val="clear" w:pos="4320"/>
          <w:tab w:val="clear" w:pos="8640"/>
        </w:tabs>
        <w:rPr>
          <w:snapToGrid/>
          <w:color w:val="000000"/>
        </w:rPr>
      </w:pPr>
    </w:p>
    <w:p w14:paraId="51D90A55" w14:textId="77777777" w:rsidR="00070362" w:rsidRDefault="00070362">
      <w:pPr>
        <w:pStyle w:val="Header"/>
        <w:tabs>
          <w:tab w:val="clear" w:pos="4320"/>
          <w:tab w:val="clear" w:pos="8640"/>
        </w:tabs>
        <w:rPr>
          <w:snapToGrid/>
          <w:color w:val="000000"/>
        </w:rPr>
      </w:pPr>
      <w:r>
        <w:rPr>
          <w:snapToGrid/>
          <w:color w:val="000000"/>
        </w:rPr>
        <w:t>Team reviewed and compared the number portability database capacity model (contributed by Maggie Lee) and the number portability throughput model (contributed by Anne Cummins).  Following is the rough comparison:</w:t>
      </w:r>
    </w:p>
    <w:p w14:paraId="0E6E43E3" w14:textId="77777777" w:rsidR="00070362" w:rsidRDefault="00070362">
      <w:pPr>
        <w:pStyle w:val="Header"/>
        <w:tabs>
          <w:tab w:val="clear" w:pos="4320"/>
          <w:tab w:val="clear" w:pos="8640"/>
        </w:tabs>
        <w:rPr>
          <w:snapToGrid/>
          <w:color w:val="000000"/>
        </w:rPr>
      </w:pPr>
    </w:p>
    <w:p w14:paraId="372F093F" w14:textId="77777777" w:rsidR="00070362" w:rsidRDefault="00070362">
      <w:pPr>
        <w:pStyle w:val="Header"/>
        <w:tabs>
          <w:tab w:val="clear" w:pos="4320"/>
          <w:tab w:val="clear" w:pos="8640"/>
        </w:tabs>
        <w:rPr>
          <w:snapToGrid/>
          <w:color w:val="000000"/>
          <w:u w:val="single"/>
        </w:rPr>
      </w:pPr>
      <w:r>
        <w:rPr>
          <w:snapToGrid/>
          <w:color w:val="000000"/>
          <w:u w:val="single"/>
        </w:rPr>
        <w:t>Period</w:t>
      </w:r>
      <w:r>
        <w:rPr>
          <w:snapToGrid/>
          <w:color w:val="000000"/>
          <w:u w:val="single"/>
        </w:rPr>
        <w:tab/>
        <w:t>Maggie’s Data (in M)</w:t>
      </w:r>
      <w:r>
        <w:rPr>
          <w:snapToGrid/>
          <w:color w:val="000000"/>
          <w:u w:val="single"/>
        </w:rPr>
        <w:tab/>
        <w:t>Anne’s Wireless Pooled Data (in M)</w:t>
      </w:r>
    </w:p>
    <w:p w14:paraId="22828F0E" w14:textId="77777777" w:rsidR="00070362" w:rsidRDefault="00070362">
      <w:pPr>
        <w:pStyle w:val="Header"/>
        <w:tabs>
          <w:tab w:val="clear" w:pos="4320"/>
          <w:tab w:val="clear" w:pos="8640"/>
        </w:tabs>
        <w:rPr>
          <w:snapToGrid/>
          <w:color w:val="000000"/>
        </w:rPr>
      </w:pPr>
      <w:r>
        <w:rPr>
          <w:snapToGrid/>
          <w:color w:val="000000"/>
        </w:rPr>
        <w:t>4Q01</w:t>
      </w:r>
      <w:r>
        <w:rPr>
          <w:snapToGrid/>
          <w:color w:val="000000"/>
        </w:rPr>
        <w:tab/>
        <w:t>23.4</w:t>
      </w:r>
      <w:r>
        <w:rPr>
          <w:snapToGrid/>
          <w:color w:val="000000"/>
        </w:rPr>
        <w:tab/>
      </w:r>
      <w:r>
        <w:rPr>
          <w:snapToGrid/>
          <w:color w:val="000000"/>
        </w:rPr>
        <w:tab/>
      </w:r>
      <w:r>
        <w:rPr>
          <w:snapToGrid/>
          <w:color w:val="000000"/>
        </w:rPr>
        <w:tab/>
        <w:t>0</w:t>
      </w:r>
    </w:p>
    <w:p w14:paraId="05B6C569" w14:textId="77777777" w:rsidR="00070362" w:rsidRDefault="00070362">
      <w:pPr>
        <w:pStyle w:val="Header"/>
        <w:tabs>
          <w:tab w:val="clear" w:pos="4320"/>
          <w:tab w:val="clear" w:pos="8640"/>
        </w:tabs>
        <w:rPr>
          <w:snapToGrid/>
          <w:color w:val="000000"/>
        </w:rPr>
      </w:pPr>
      <w:r>
        <w:rPr>
          <w:snapToGrid/>
          <w:color w:val="000000"/>
        </w:rPr>
        <w:t>4Q02</w:t>
      </w:r>
      <w:r>
        <w:rPr>
          <w:snapToGrid/>
          <w:color w:val="000000"/>
        </w:rPr>
        <w:tab/>
        <w:t>56</w:t>
      </w:r>
      <w:r>
        <w:rPr>
          <w:snapToGrid/>
          <w:color w:val="000000"/>
        </w:rPr>
        <w:tab/>
      </w:r>
      <w:r>
        <w:rPr>
          <w:snapToGrid/>
          <w:color w:val="000000"/>
        </w:rPr>
        <w:tab/>
      </w:r>
      <w:r>
        <w:rPr>
          <w:snapToGrid/>
          <w:color w:val="000000"/>
        </w:rPr>
        <w:tab/>
        <w:t>(not available)</w:t>
      </w:r>
    </w:p>
    <w:p w14:paraId="4FBFFEE5" w14:textId="77777777" w:rsidR="00070362" w:rsidRDefault="00070362">
      <w:pPr>
        <w:pStyle w:val="Header"/>
        <w:tabs>
          <w:tab w:val="clear" w:pos="4320"/>
          <w:tab w:val="clear" w:pos="8640"/>
        </w:tabs>
        <w:rPr>
          <w:snapToGrid/>
          <w:color w:val="000000"/>
        </w:rPr>
      </w:pPr>
      <w:r>
        <w:rPr>
          <w:snapToGrid/>
          <w:color w:val="000000"/>
        </w:rPr>
        <w:t>4Q03</w:t>
      </w:r>
      <w:r>
        <w:rPr>
          <w:snapToGrid/>
          <w:color w:val="000000"/>
        </w:rPr>
        <w:tab/>
        <w:t>82</w:t>
      </w:r>
      <w:r>
        <w:rPr>
          <w:snapToGrid/>
          <w:color w:val="000000"/>
        </w:rPr>
        <w:tab/>
      </w:r>
      <w:r>
        <w:rPr>
          <w:snapToGrid/>
          <w:color w:val="000000"/>
        </w:rPr>
        <w:tab/>
      </w:r>
      <w:r>
        <w:rPr>
          <w:snapToGrid/>
          <w:color w:val="000000"/>
        </w:rPr>
        <w:tab/>
        <w:t>11.3</w:t>
      </w:r>
    </w:p>
    <w:p w14:paraId="13A28869" w14:textId="77777777" w:rsidR="00070362" w:rsidRDefault="00070362">
      <w:pPr>
        <w:pStyle w:val="Header"/>
        <w:tabs>
          <w:tab w:val="clear" w:pos="4320"/>
          <w:tab w:val="clear" w:pos="8640"/>
        </w:tabs>
        <w:rPr>
          <w:snapToGrid/>
          <w:color w:val="000000"/>
        </w:rPr>
      </w:pPr>
      <w:r>
        <w:rPr>
          <w:snapToGrid/>
          <w:color w:val="000000"/>
        </w:rPr>
        <w:t>4Q04</w:t>
      </w:r>
      <w:r>
        <w:rPr>
          <w:snapToGrid/>
          <w:color w:val="000000"/>
        </w:rPr>
        <w:tab/>
        <w:t>88</w:t>
      </w:r>
      <w:r>
        <w:rPr>
          <w:snapToGrid/>
          <w:color w:val="000000"/>
        </w:rPr>
        <w:tab/>
      </w:r>
      <w:r>
        <w:rPr>
          <w:snapToGrid/>
          <w:color w:val="000000"/>
        </w:rPr>
        <w:tab/>
      </w:r>
      <w:r>
        <w:rPr>
          <w:snapToGrid/>
          <w:color w:val="000000"/>
        </w:rPr>
        <w:tab/>
        <w:t>17.1</w:t>
      </w:r>
      <w:r>
        <w:rPr>
          <w:snapToGrid/>
          <w:color w:val="000000"/>
        </w:rPr>
        <w:tab/>
      </w:r>
    </w:p>
    <w:p w14:paraId="5D57E93A" w14:textId="77777777" w:rsidR="00070362" w:rsidRDefault="00070362">
      <w:pPr>
        <w:pStyle w:val="Header"/>
        <w:tabs>
          <w:tab w:val="clear" w:pos="4320"/>
          <w:tab w:val="clear" w:pos="8640"/>
        </w:tabs>
        <w:rPr>
          <w:snapToGrid/>
          <w:color w:val="000000"/>
        </w:rPr>
      </w:pPr>
      <w:r>
        <w:rPr>
          <w:snapToGrid/>
          <w:color w:val="000000"/>
        </w:rPr>
        <w:t>4Q05</w:t>
      </w:r>
      <w:r>
        <w:rPr>
          <w:snapToGrid/>
          <w:color w:val="000000"/>
        </w:rPr>
        <w:tab/>
        <w:t>97</w:t>
      </w:r>
      <w:r>
        <w:rPr>
          <w:snapToGrid/>
          <w:color w:val="000000"/>
        </w:rPr>
        <w:tab/>
      </w:r>
      <w:r>
        <w:rPr>
          <w:snapToGrid/>
          <w:color w:val="000000"/>
        </w:rPr>
        <w:tab/>
      </w:r>
      <w:r>
        <w:rPr>
          <w:snapToGrid/>
          <w:color w:val="000000"/>
        </w:rPr>
        <w:tab/>
        <w:t>19.4</w:t>
      </w:r>
    </w:p>
    <w:p w14:paraId="109B420C" w14:textId="77777777" w:rsidR="00070362" w:rsidRDefault="00070362">
      <w:pPr>
        <w:pStyle w:val="Header"/>
        <w:tabs>
          <w:tab w:val="clear" w:pos="4320"/>
          <w:tab w:val="clear" w:pos="8640"/>
        </w:tabs>
        <w:rPr>
          <w:snapToGrid/>
          <w:color w:val="000000"/>
        </w:rPr>
      </w:pPr>
      <w:r>
        <w:rPr>
          <w:snapToGrid/>
          <w:color w:val="000000"/>
        </w:rPr>
        <w:t>4Q06</w:t>
      </w:r>
      <w:r>
        <w:rPr>
          <w:snapToGrid/>
          <w:color w:val="000000"/>
        </w:rPr>
        <w:tab/>
        <w:t>108</w:t>
      </w:r>
      <w:r>
        <w:rPr>
          <w:snapToGrid/>
          <w:color w:val="000000"/>
        </w:rPr>
        <w:tab/>
      </w:r>
      <w:r>
        <w:rPr>
          <w:snapToGrid/>
          <w:color w:val="000000"/>
        </w:rPr>
        <w:tab/>
      </w:r>
      <w:r>
        <w:rPr>
          <w:snapToGrid/>
          <w:color w:val="000000"/>
        </w:rPr>
        <w:tab/>
        <w:t>21.8</w:t>
      </w:r>
    </w:p>
    <w:p w14:paraId="2F417005" w14:textId="77777777" w:rsidR="00070362" w:rsidRDefault="00070362">
      <w:pPr>
        <w:pStyle w:val="Header"/>
        <w:tabs>
          <w:tab w:val="clear" w:pos="4320"/>
          <w:tab w:val="clear" w:pos="8640"/>
        </w:tabs>
        <w:rPr>
          <w:snapToGrid/>
          <w:color w:val="000000"/>
          <w:u w:val="single"/>
        </w:rPr>
      </w:pPr>
      <w:r>
        <w:rPr>
          <w:snapToGrid/>
          <w:color w:val="000000"/>
          <w:u w:val="single"/>
        </w:rPr>
        <w:t>Assumptions:</w:t>
      </w:r>
    </w:p>
    <w:p w14:paraId="7C73495A" w14:textId="77777777" w:rsidR="00070362" w:rsidRDefault="00070362">
      <w:pPr>
        <w:pStyle w:val="Header"/>
        <w:tabs>
          <w:tab w:val="clear" w:pos="4320"/>
          <w:tab w:val="clear" w:pos="8640"/>
        </w:tabs>
        <w:rPr>
          <w:snapToGrid/>
          <w:color w:val="000000"/>
        </w:rPr>
      </w:pPr>
      <w:r>
        <w:rPr>
          <w:snapToGrid/>
          <w:color w:val="000000"/>
        </w:rPr>
        <w:t>a) Both sets of numbers are cumulative.</w:t>
      </w:r>
    </w:p>
    <w:p w14:paraId="6DD20438" w14:textId="77777777" w:rsidR="00070362" w:rsidRDefault="00070362">
      <w:pPr>
        <w:pStyle w:val="Header"/>
        <w:tabs>
          <w:tab w:val="clear" w:pos="4320"/>
          <w:tab w:val="clear" w:pos="8640"/>
        </w:tabs>
        <w:rPr>
          <w:snapToGrid/>
          <w:color w:val="000000"/>
        </w:rPr>
      </w:pPr>
      <w:r>
        <w:rPr>
          <w:snapToGrid/>
          <w:color w:val="000000"/>
        </w:rPr>
        <w:t>b) Maggie’s data includes both wireless &amp; wireline ported volumes (wireline data includes pooled data, but Maggie’s wireless data does not).</w:t>
      </w:r>
    </w:p>
    <w:p w14:paraId="2CF8C25E" w14:textId="77777777" w:rsidR="00070362" w:rsidRDefault="00070362">
      <w:pPr>
        <w:pStyle w:val="Header"/>
        <w:tabs>
          <w:tab w:val="clear" w:pos="4320"/>
          <w:tab w:val="clear" w:pos="8640"/>
        </w:tabs>
        <w:rPr>
          <w:snapToGrid/>
          <w:color w:val="000000"/>
        </w:rPr>
      </w:pPr>
      <w:r>
        <w:rPr>
          <w:snapToGrid/>
          <w:color w:val="000000"/>
        </w:rPr>
        <w:t>c) Anne’s data is wireless pooled data only.</w:t>
      </w:r>
    </w:p>
    <w:p w14:paraId="5E456AE3" w14:textId="77777777" w:rsidR="00070362" w:rsidRDefault="00070362">
      <w:pPr>
        <w:pStyle w:val="Header"/>
        <w:tabs>
          <w:tab w:val="clear" w:pos="4320"/>
          <w:tab w:val="clear" w:pos="8640"/>
        </w:tabs>
        <w:rPr>
          <w:snapToGrid/>
          <w:color w:val="000000"/>
        </w:rPr>
      </w:pPr>
      <w:r>
        <w:rPr>
          <w:snapToGrid/>
          <w:color w:val="000000"/>
        </w:rPr>
        <w:t>d) Need to sum the two to get the total NPDB capacity.</w:t>
      </w:r>
    </w:p>
    <w:p w14:paraId="28225F08" w14:textId="77777777" w:rsidR="00070362" w:rsidRDefault="00070362">
      <w:pPr>
        <w:pStyle w:val="Header"/>
        <w:tabs>
          <w:tab w:val="clear" w:pos="4320"/>
          <w:tab w:val="clear" w:pos="8640"/>
        </w:tabs>
        <w:rPr>
          <w:snapToGrid/>
          <w:color w:val="000000"/>
        </w:rPr>
      </w:pPr>
    </w:p>
    <w:p w14:paraId="49A48435" w14:textId="77777777" w:rsidR="00070362" w:rsidRDefault="00070362">
      <w:pPr>
        <w:pStyle w:val="Header"/>
        <w:tabs>
          <w:tab w:val="clear" w:pos="4320"/>
          <w:tab w:val="clear" w:pos="8640"/>
        </w:tabs>
        <w:rPr>
          <w:snapToGrid/>
          <w:color w:val="000000"/>
        </w:rPr>
      </w:pPr>
      <w:r>
        <w:rPr>
          <w:snapToGrid/>
          <w:color w:val="000000"/>
        </w:rPr>
        <w:t xml:space="preserve">Anne’s data does not agree with Maggie’s model of wireless ported numbers.  Anne’s data indicates a total </w:t>
      </w:r>
      <w:proofErr w:type="gramStart"/>
      <w:r>
        <w:rPr>
          <w:snapToGrid/>
          <w:color w:val="000000"/>
        </w:rPr>
        <w:t>of  80</w:t>
      </w:r>
      <w:proofErr w:type="gramEnd"/>
      <w:r>
        <w:rPr>
          <w:snapToGrid/>
          <w:color w:val="000000"/>
        </w:rPr>
        <w:t xml:space="preserve">M ported wireless numbers by 2006 (about double what Maggie has).  </w:t>
      </w:r>
    </w:p>
    <w:p w14:paraId="4770B7FA" w14:textId="77777777" w:rsidR="00070362" w:rsidRDefault="00070362">
      <w:pPr>
        <w:pStyle w:val="Header"/>
        <w:tabs>
          <w:tab w:val="clear" w:pos="4320"/>
          <w:tab w:val="clear" w:pos="8640"/>
        </w:tabs>
        <w:rPr>
          <w:snapToGrid/>
          <w:color w:val="000000"/>
        </w:rPr>
      </w:pPr>
    </w:p>
    <w:p w14:paraId="4A4EB9AD" w14:textId="77777777" w:rsidR="00070362" w:rsidRDefault="00070362">
      <w:pPr>
        <w:pStyle w:val="Header"/>
        <w:tabs>
          <w:tab w:val="clear" w:pos="4320"/>
          <w:tab w:val="clear" w:pos="8640"/>
        </w:tabs>
        <w:rPr>
          <w:snapToGrid/>
          <w:color w:val="000000"/>
        </w:rPr>
      </w:pPr>
      <w:r>
        <w:rPr>
          <w:snapToGrid/>
          <w:color w:val="000000"/>
        </w:rPr>
        <w:t>Gene Johnston provided forecast growth figures for Anne to use.  The growth rates flatten out from 2005 to 2006 at 4.3%.</w:t>
      </w:r>
    </w:p>
    <w:p w14:paraId="4936031B" w14:textId="77777777" w:rsidR="00070362" w:rsidRDefault="00070362">
      <w:pPr>
        <w:pStyle w:val="Header"/>
        <w:tabs>
          <w:tab w:val="clear" w:pos="4320"/>
          <w:tab w:val="clear" w:pos="8640"/>
        </w:tabs>
        <w:rPr>
          <w:snapToGrid/>
          <w:color w:val="000000"/>
        </w:rPr>
      </w:pPr>
    </w:p>
    <w:p w14:paraId="3821F3CF" w14:textId="77777777" w:rsidR="00070362" w:rsidRDefault="00070362">
      <w:pPr>
        <w:pStyle w:val="Header"/>
        <w:tabs>
          <w:tab w:val="clear" w:pos="4320"/>
          <w:tab w:val="clear" w:pos="8640"/>
        </w:tabs>
        <w:rPr>
          <w:snapToGrid/>
          <w:color w:val="000000"/>
        </w:rPr>
      </w:pPr>
      <w:r>
        <w:rPr>
          <w:snapToGrid/>
          <w:color w:val="000000"/>
        </w:rPr>
        <w:t xml:space="preserve">Anne’s numbers include churn as her model represents throughput.  </w:t>
      </w:r>
    </w:p>
    <w:p w14:paraId="09930D3E" w14:textId="77777777" w:rsidR="00070362" w:rsidRDefault="00070362">
      <w:pPr>
        <w:pStyle w:val="Header"/>
        <w:tabs>
          <w:tab w:val="clear" w:pos="4320"/>
          <w:tab w:val="clear" w:pos="8640"/>
        </w:tabs>
        <w:rPr>
          <w:snapToGrid/>
          <w:color w:val="000000"/>
        </w:rPr>
      </w:pPr>
    </w:p>
    <w:p w14:paraId="696FAA1C"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b/>
          <w:bCs/>
          <w:snapToGrid/>
          <w:color w:val="000000"/>
          <w:u w:val="single"/>
        </w:rPr>
        <w:t xml:space="preserve"> </w:t>
      </w:r>
      <w:r>
        <w:rPr>
          <w:snapToGrid/>
          <w:color w:val="000000"/>
        </w:rPr>
        <w:t>Anne Cummins will revise the number portability throughput model assumptions to be sent out for discussion in January.</w:t>
      </w:r>
    </w:p>
    <w:p w14:paraId="7BDDE2EA" w14:textId="77777777" w:rsidR="00070362" w:rsidRDefault="00070362">
      <w:pPr>
        <w:pStyle w:val="Header"/>
        <w:tabs>
          <w:tab w:val="clear" w:pos="4320"/>
          <w:tab w:val="clear" w:pos="8640"/>
        </w:tabs>
        <w:rPr>
          <w:b/>
          <w:bCs/>
          <w:snapToGrid/>
          <w:color w:val="000000"/>
          <w:highlight w:val="yellow"/>
          <w:u w:val="single"/>
        </w:rPr>
      </w:pPr>
    </w:p>
    <w:p w14:paraId="0A5716AF" w14:textId="77777777" w:rsidR="00070362" w:rsidRDefault="00070362">
      <w:pPr>
        <w:pStyle w:val="Header"/>
        <w:tabs>
          <w:tab w:val="clear" w:pos="4320"/>
          <w:tab w:val="clear" w:pos="8640"/>
        </w:tabs>
        <w:rPr>
          <w:snapToGrid/>
          <w:color w:val="000000"/>
        </w:rPr>
      </w:pPr>
      <w:r>
        <w:rPr>
          <w:b/>
          <w:bCs/>
          <w:snapToGrid/>
          <w:color w:val="000000"/>
          <w:highlight w:val="yellow"/>
          <w:u w:val="single"/>
        </w:rPr>
        <w:lastRenderedPageBreak/>
        <w:t>ACTION:</w:t>
      </w:r>
      <w:r>
        <w:rPr>
          <w:snapToGrid/>
          <w:color w:val="000000"/>
        </w:rPr>
        <w:t xml:space="preserve"> Maggie Lee to add Anne </w:t>
      </w:r>
      <w:proofErr w:type="spellStart"/>
      <w:r>
        <w:rPr>
          <w:snapToGrid/>
          <w:color w:val="000000"/>
        </w:rPr>
        <w:t>Cummin’s</w:t>
      </w:r>
      <w:proofErr w:type="spellEnd"/>
      <w:r>
        <w:rPr>
          <w:snapToGrid/>
          <w:color w:val="000000"/>
        </w:rPr>
        <w:t xml:space="preserve"> wireless pooling data to the totals derived from her model for appropriate NPDB sizing assumptions.  To be reviewed in January.</w:t>
      </w:r>
    </w:p>
    <w:p w14:paraId="4A0DEBCD" w14:textId="77777777" w:rsidR="00070362" w:rsidRDefault="00070362">
      <w:pPr>
        <w:pStyle w:val="Header"/>
        <w:tabs>
          <w:tab w:val="clear" w:pos="4320"/>
          <w:tab w:val="clear" w:pos="8640"/>
        </w:tabs>
        <w:rPr>
          <w:b/>
          <w:bCs/>
          <w:snapToGrid/>
          <w:color w:val="000000"/>
          <w:highlight w:val="yellow"/>
          <w:u w:val="single"/>
        </w:rPr>
      </w:pPr>
    </w:p>
    <w:p w14:paraId="131BE21B"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Maggie Lee to go back and revise the capacity model to try to sync up with Anne’s numbers.  Maggie will also verify the assumptions of the model (</w:t>
      </w:r>
      <w:proofErr w:type="gramStart"/>
      <w:r>
        <w:rPr>
          <w:snapToGrid/>
          <w:color w:val="000000"/>
        </w:rPr>
        <w:t>e.g.</w:t>
      </w:r>
      <w:proofErr w:type="gramEnd"/>
      <w:r>
        <w:rPr>
          <w:snapToGrid/>
          <w:color w:val="000000"/>
        </w:rPr>
        <w:t xml:space="preserve"> whether the numbers include new adds).  For discussion at January meeting.</w:t>
      </w:r>
    </w:p>
    <w:p w14:paraId="2FBDD5FD" w14:textId="77777777" w:rsidR="00070362" w:rsidRDefault="00070362">
      <w:pPr>
        <w:pStyle w:val="Header"/>
        <w:tabs>
          <w:tab w:val="clear" w:pos="4320"/>
          <w:tab w:val="clear" w:pos="8640"/>
        </w:tabs>
        <w:rPr>
          <w:snapToGrid/>
          <w:color w:val="000000"/>
        </w:rPr>
      </w:pPr>
    </w:p>
    <w:p w14:paraId="20C71CE2" w14:textId="77777777" w:rsidR="00070362" w:rsidRDefault="00070362">
      <w:pPr>
        <w:pStyle w:val="Header"/>
        <w:tabs>
          <w:tab w:val="clear" w:pos="4320"/>
          <w:tab w:val="clear" w:pos="8640"/>
        </w:tabs>
        <w:rPr>
          <w:snapToGrid/>
          <w:color w:val="000000"/>
        </w:rPr>
      </w:pPr>
    </w:p>
    <w:p w14:paraId="11ABD901" w14:textId="77777777" w:rsidR="00070362" w:rsidRDefault="00070362">
      <w:pPr>
        <w:pStyle w:val="Header"/>
        <w:tabs>
          <w:tab w:val="clear" w:pos="4320"/>
          <w:tab w:val="clear" w:pos="8640"/>
        </w:tabs>
        <w:rPr>
          <w:snapToGrid/>
          <w:color w:val="000000"/>
        </w:rPr>
      </w:pPr>
    </w:p>
    <w:p w14:paraId="08B0B91C"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LLC Letter – NPAC Release 3.1 Rollout:</w:t>
      </w:r>
    </w:p>
    <w:p w14:paraId="7EBA0E0E" w14:textId="77777777" w:rsidR="00070362" w:rsidRDefault="00070362">
      <w:pPr>
        <w:pStyle w:val="Header"/>
        <w:tabs>
          <w:tab w:val="clear" w:pos="4320"/>
          <w:tab w:val="clear" w:pos="8640"/>
        </w:tabs>
        <w:rPr>
          <w:snapToGrid/>
          <w:color w:val="000000"/>
        </w:rPr>
      </w:pPr>
    </w:p>
    <w:p w14:paraId="42BA39B4" w14:textId="77777777" w:rsidR="00070362" w:rsidRDefault="00070362">
      <w:pPr>
        <w:pStyle w:val="Header"/>
        <w:tabs>
          <w:tab w:val="clear" w:pos="4320"/>
          <w:tab w:val="clear" w:pos="8640"/>
        </w:tabs>
        <w:rPr>
          <w:snapToGrid/>
          <w:color w:val="000000"/>
        </w:rPr>
      </w:pPr>
      <w:r>
        <w:rPr>
          <w:snapToGrid/>
          <w:color w:val="000000"/>
        </w:rPr>
        <w:t xml:space="preserve">Dave Garner confirmed that the LLC would not change the rollout order of the regions, and therefore the WNPO will not be sending the LLC a letter with that request.  </w:t>
      </w:r>
    </w:p>
    <w:p w14:paraId="7D4489BA" w14:textId="77777777" w:rsidR="00070362" w:rsidRDefault="00070362">
      <w:pPr>
        <w:pStyle w:val="Header"/>
        <w:tabs>
          <w:tab w:val="clear" w:pos="4320"/>
          <w:tab w:val="clear" w:pos="8640"/>
        </w:tabs>
        <w:rPr>
          <w:snapToGrid/>
          <w:color w:val="000000"/>
        </w:rPr>
      </w:pPr>
    </w:p>
    <w:p w14:paraId="49648E85" w14:textId="77777777" w:rsidR="00070362" w:rsidRDefault="00070362">
      <w:pPr>
        <w:pStyle w:val="Header"/>
        <w:tabs>
          <w:tab w:val="clear" w:pos="4320"/>
          <w:tab w:val="clear" w:pos="8640"/>
        </w:tabs>
        <w:rPr>
          <w:snapToGrid/>
          <w:color w:val="000000"/>
        </w:rPr>
      </w:pPr>
    </w:p>
    <w:p w14:paraId="31BC582A" w14:textId="77777777" w:rsidR="00070362" w:rsidRDefault="00070362">
      <w:pPr>
        <w:pStyle w:val="Header"/>
        <w:tabs>
          <w:tab w:val="clear" w:pos="4320"/>
          <w:tab w:val="clear" w:pos="8640"/>
        </w:tabs>
        <w:rPr>
          <w:snapToGrid/>
          <w:color w:val="000000"/>
        </w:rPr>
      </w:pPr>
    </w:p>
    <w:p w14:paraId="218F008D"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N-1 Carrier Methodology:</w:t>
      </w:r>
    </w:p>
    <w:p w14:paraId="0614EB08" w14:textId="77777777" w:rsidR="00070362" w:rsidRDefault="00070362">
      <w:pPr>
        <w:pStyle w:val="Header"/>
        <w:tabs>
          <w:tab w:val="clear" w:pos="4320"/>
          <w:tab w:val="clear" w:pos="8640"/>
        </w:tabs>
        <w:rPr>
          <w:b/>
          <w:bCs/>
          <w:snapToGrid/>
          <w:color w:val="000000"/>
          <w:u w:val="single"/>
        </w:rPr>
      </w:pPr>
    </w:p>
    <w:p w14:paraId="6B894228" w14:textId="77777777" w:rsidR="00070362" w:rsidRDefault="00070362">
      <w:pPr>
        <w:pStyle w:val="BodyTextIndent3"/>
        <w:ind w:left="0"/>
        <w:rPr>
          <w:color w:val="000000"/>
        </w:rPr>
      </w:pPr>
      <w:r>
        <w:rPr>
          <w:color w:val="000000"/>
        </w:rPr>
        <w:t xml:space="preserve">At the October 2001 WNPO meeting the team clarified that:  </w:t>
      </w:r>
    </w:p>
    <w:p w14:paraId="0BBBF7D7" w14:textId="77777777" w:rsidR="00070362" w:rsidRDefault="00070362">
      <w:pPr>
        <w:pStyle w:val="BodyTextIndent3"/>
        <w:ind w:left="0"/>
        <w:rPr>
          <w:color w:val="000000"/>
        </w:rPr>
      </w:pPr>
    </w:p>
    <w:p w14:paraId="451F9798" w14:textId="77777777" w:rsidR="00070362" w:rsidRDefault="00070362">
      <w:pPr>
        <w:pStyle w:val="BodyTextIndent3"/>
        <w:rPr>
          <w:i/>
          <w:iCs/>
          <w:color w:val="000000"/>
        </w:rPr>
      </w:pPr>
      <w:r>
        <w:rPr>
          <w:i/>
          <w:iCs/>
          <w:color w:val="000000"/>
        </w:rPr>
        <w:t>“The N-1 carrier (</w:t>
      </w:r>
      <w:proofErr w:type="gramStart"/>
      <w:r>
        <w:rPr>
          <w:i/>
          <w:iCs/>
          <w:color w:val="000000"/>
        </w:rPr>
        <w:t>i.e.</w:t>
      </w:r>
      <w:proofErr w:type="gramEnd"/>
      <w:r>
        <w:rPr>
          <w:i/>
          <w:iCs/>
          <w:color w:val="000000"/>
        </w:rPr>
        <w:t xml:space="preserve"> company) is responsible for performing the dip, not the N-1 switch.  If there is a locally terminated call then the originating carrier needs to perform the dip, because they cannot be sure whether the tandem switch belongs to the N-1 carrier or the N carrier (terminating carrier).  For all local terminations the originating carrier needs to perform the dip, however, for any calls going through an IXC the IXC must perform the dip.  Following are examples that were discussed:  </w:t>
      </w:r>
    </w:p>
    <w:p w14:paraId="68078DAA" w14:textId="77777777" w:rsidR="00070362" w:rsidRDefault="00070362">
      <w:pPr>
        <w:pStyle w:val="Header"/>
        <w:tabs>
          <w:tab w:val="clear" w:pos="4320"/>
          <w:tab w:val="clear" w:pos="8640"/>
        </w:tabs>
        <w:rPr>
          <w:i/>
          <w:iCs/>
          <w:snapToGrid/>
          <w:color w:val="000000"/>
        </w:rPr>
      </w:pPr>
    </w:p>
    <w:p w14:paraId="04D29EBC" w14:textId="77777777" w:rsidR="00070362" w:rsidRDefault="00070362">
      <w:pPr>
        <w:pStyle w:val="BodyTextIndent3"/>
        <w:rPr>
          <w:i/>
          <w:iCs/>
          <w:color w:val="000000"/>
        </w:rPr>
      </w:pPr>
      <w:r>
        <w:rPr>
          <w:i/>
          <w:iCs/>
          <w:color w:val="000000"/>
        </w:rPr>
        <w:t>a) Wireless to a ported local wireless – the originating wireless carrier should perform the dip (unless they intend to default route and pay the terminating carrier to perform the dip for them).</w:t>
      </w:r>
    </w:p>
    <w:p w14:paraId="1F203BF6" w14:textId="77777777" w:rsidR="00070362" w:rsidRDefault="00070362">
      <w:pPr>
        <w:pStyle w:val="Header"/>
        <w:tabs>
          <w:tab w:val="clear" w:pos="4320"/>
          <w:tab w:val="clear" w:pos="8640"/>
        </w:tabs>
        <w:ind w:left="360"/>
        <w:rPr>
          <w:b/>
          <w:bCs/>
          <w:snapToGrid/>
          <w:color w:val="000000"/>
          <w:u w:val="single"/>
        </w:rPr>
      </w:pPr>
      <w:r>
        <w:rPr>
          <w:i/>
          <w:iCs/>
          <w:color w:val="000000"/>
        </w:rPr>
        <w:t xml:space="preserve">b) Wireless to a ported local wireline – the originating wireless carrier should perform the </w:t>
      </w:r>
      <w:proofErr w:type="gramStart"/>
      <w:r>
        <w:rPr>
          <w:i/>
          <w:iCs/>
          <w:color w:val="000000"/>
        </w:rPr>
        <w:t>dip, since</w:t>
      </w:r>
      <w:proofErr w:type="gramEnd"/>
      <w:r>
        <w:rPr>
          <w:i/>
          <w:iCs/>
          <w:color w:val="000000"/>
        </w:rPr>
        <w:t xml:space="preserve"> they cannot be sure whether a tandem switch belongs to a different carrier than the terminating switch (unless they intend to default route and pay the terminating carrier to perform the dip for them).”</w:t>
      </w:r>
    </w:p>
    <w:p w14:paraId="32A8FF8B" w14:textId="77777777" w:rsidR="00070362" w:rsidRDefault="00070362">
      <w:pPr>
        <w:pStyle w:val="Header"/>
        <w:tabs>
          <w:tab w:val="clear" w:pos="4320"/>
          <w:tab w:val="clear" w:pos="8640"/>
        </w:tabs>
        <w:rPr>
          <w:b/>
          <w:bCs/>
          <w:snapToGrid/>
          <w:color w:val="000000"/>
          <w:u w:val="single"/>
        </w:rPr>
      </w:pPr>
    </w:p>
    <w:p w14:paraId="186053A9" w14:textId="77777777" w:rsidR="00070362" w:rsidRDefault="00070362">
      <w:pPr>
        <w:pStyle w:val="Header"/>
        <w:tabs>
          <w:tab w:val="clear" w:pos="4320"/>
          <w:tab w:val="clear" w:pos="8640"/>
        </w:tabs>
        <w:rPr>
          <w:snapToGrid/>
          <w:color w:val="000000"/>
        </w:rPr>
      </w:pPr>
      <w:r>
        <w:rPr>
          <w:snapToGrid/>
          <w:color w:val="000000"/>
        </w:rPr>
        <w:t>At the December 2001 WNPO meeting the team agreed that any recommendations or clarifications on this topic should be included in the WNPO Decision/Recommendation Matrix.  One team member was concerned with the wording to be used in the matrix.  He stated that in an intra-LATA wireless-to-wireless call scenario, if there is not a direct interconnection between wireless SP A and wireless SP B; wireless SP A could route to the LEC (who is the N-1 carrier) to terminate to wireless SP B.  Other team members stated that in this scenario, Wireless A would still be responsible for performing the NPDB dip based on the WNPSC Technical, Operational and Implementation Requirements document.  They indicated that whatever business arrangements wireless SP A makes (</w:t>
      </w:r>
      <w:proofErr w:type="gramStart"/>
      <w:r>
        <w:rPr>
          <w:snapToGrid/>
          <w:color w:val="000000"/>
        </w:rPr>
        <w:t>e.g.</w:t>
      </w:r>
      <w:proofErr w:type="gramEnd"/>
      <w:r>
        <w:rPr>
          <w:snapToGrid/>
          <w:color w:val="000000"/>
        </w:rPr>
        <w:t xml:space="preserve"> default routing to the LEC) is up to them, however the requirements document indicates that wireless SP A would be considered the N-1 carrier.</w:t>
      </w:r>
    </w:p>
    <w:p w14:paraId="42763DE8" w14:textId="77777777" w:rsidR="00070362" w:rsidRDefault="00070362">
      <w:pPr>
        <w:pStyle w:val="Header"/>
        <w:tabs>
          <w:tab w:val="clear" w:pos="4320"/>
          <w:tab w:val="clear" w:pos="8640"/>
        </w:tabs>
        <w:rPr>
          <w:snapToGrid/>
          <w:color w:val="000000"/>
        </w:rPr>
      </w:pPr>
    </w:p>
    <w:p w14:paraId="4D31BA02"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b/>
          <w:bCs/>
          <w:snapToGrid/>
          <w:color w:val="000000"/>
          <w:highlight w:val="yellow"/>
        </w:rPr>
        <w:t>:</w:t>
      </w:r>
      <w:r>
        <w:rPr>
          <w:snapToGrid/>
          <w:color w:val="000000"/>
        </w:rPr>
        <w:t xml:space="preserve">  Add proposed wording in the WNPO Decision/Recommendation matrix to clarify the N-1 methodology for review at the January meeting (Brigitte Brown &amp; Jim Grasser).</w:t>
      </w:r>
    </w:p>
    <w:p w14:paraId="07B9B892" w14:textId="77777777" w:rsidR="00070362" w:rsidRDefault="00070362">
      <w:pPr>
        <w:pStyle w:val="Header"/>
        <w:tabs>
          <w:tab w:val="clear" w:pos="4320"/>
          <w:tab w:val="clear" w:pos="8640"/>
        </w:tabs>
        <w:rPr>
          <w:snapToGrid/>
          <w:color w:val="000000"/>
        </w:rPr>
      </w:pPr>
    </w:p>
    <w:p w14:paraId="7AEA6458" w14:textId="77777777" w:rsidR="00070362" w:rsidRDefault="00070362">
      <w:pPr>
        <w:pStyle w:val="Header"/>
        <w:tabs>
          <w:tab w:val="clear" w:pos="4320"/>
          <w:tab w:val="clear" w:pos="8640"/>
        </w:tabs>
        <w:rPr>
          <w:snapToGrid/>
          <w:color w:val="000000"/>
        </w:rPr>
      </w:pPr>
      <w:r>
        <w:rPr>
          <w:snapToGrid/>
          <w:color w:val="000000"/>
        </w:rPr>
        <w:t>The 2</w:t>
      </w:r>
      <w:r>
        <w:rPr>
          <w:snapToGrid/>
          <w:color w:val="000000"/>
          <w:vertAlign w:val="superscript"/>
        </w:rPr>
        <w:t>nd</w:t>
      </w:r>
      <w:r>
        <w:rPr>
          <w:snapToGrid/>
          <w:color w:val="000000"/>
        </w:rPr>
        <w:t xml:space="preserve"> CTIA report lists the problems that would be experienced if a SP performs its HLR query before the NPDB query.  The recommendation is that SPs perform their NPDB dip before the HLR query.</w:t>
      </w:r>
    </w:p>
    <w:p w14:paraId="0D1883BA" w14:textId="77777777" w:rsidR="00070362" w:rsidRDefault="00070362">
      <w:pPr>
        <w:pStyle w:val="Header"/>
        <w:tabs>
          <w:tab w:val="clear" w:pos="4320"/>
          <w:tab w:val="clear" w:pos="8640"/>
        </w:tabs>
        <w:rPr>
          <w:snapToGrid/>
          <w:color w:val="000000"/>
        </w:rPr>
      </w:pPr>
    </w:p>
    <w:p w14:paraId="00821E83" w14:textId="77777777" w:rsidR="00070362" w:rsidRDefault="00070362">
      <w:pPr>
        <w:pStyle w:val="Header"/>
        <w:tabs>
          <w:tab w:val="clear" w:pos="4320"/>
          <w:tab w:val="clear" w:pos="8640"/>
        </w:tabs>
        <w:rPr>
          <w:b/>
          <w:bCs/>
          <w:snapToGrid/>
          <w:color w:val="000000"/>
          <w:u w:val="single"/>
        </w:rPr>
      </w:pPr>
      <w:r>
        <w:rPr>
          <w:b/>
          <w:bCs/>
          <w:snapToGrid/>
          <w:color w:val="000000"/>
          <w:highlight w:val="yellow"/>
          <w:u w:val="single"/>
        </w:rPr>
        <w:t>ACTION:</w:t>
      </w:r>
      <w:r>
        <w:rPr>
          <w:snapToGrid/>
          <w:color w:val="000000"/>
        </w:rPr>
        <w:t xml:space="preserve"> Review the CTIA 2</w:t>
      </w:r>
      <w:r>
        <w:rPr>
          <w:snapToGrid/>
          <w:color w:val="000000"/>
          <w:vertAlign w:val="superscript"/>
        </w:rPr>
        <w:t>nd</w:t>
      </w:r>
      <w:r>
        <w:rPr>
          <w:snapToGrid/>
          <w:color w:val="000000"/>
        </w:rPr>
        <w:t xml:space="preserve"> report and identify key points and add them to the WNPO Decision /Recommendation matrix (Jim Grasser).</w:t>
      </w:r>
    </w:p>
    <w:p w14:paraId="1AD933F3" w14:textId="77777777" w:rsidR="00070362" w:rsidRDefault="00070362">
      <w:pPr>
        <w:pStyle w:val="Header"/>
        <w:tabs>
          <w:tab w:val="clear" w:pos="4320"/>
          <w:tab w:val="clear" w:pos="8640"/>
        </w:tabs>
        <w:rPr>
          <w:b/>
          <w:bCs/>
          <w:snapToGrid/>
          <w:color w:val="000000"/>
          <w:u w:val="single"/>
        </w:rPr>
      </w:pPr>
    </w:p>
    <w:p w14:paraId="19AAB923" w14:textId="77777777" w:rsidR="00070362" w:rsidRDefault="00070362">
      <w:pPr>
        <w:pStyle w:val="Header"/>
        <w:tabs>
          <w:tab w:val="clear" w:pos="4320"/>
          <w:tab w:val="clear" w:pos="8640"/>
        </w:tabs>
        <w:rPr>
          <w:snapToGrid/>
          <w:color w:val="000000"/>
        </w:rPr>
      </w:pPr>
      <w:r>
        <w:rPr>
          <w:snapToGrid/>
          <w:color w:val="000000"/>
        </w:rPr>
        <w:t xml:space="preserve"> </w:t>
      </w:r>
    </w:p>
    <w:p w14:paraId="458D3A1C" w14:textId="77777777" w:rsidR="00070362" w:rsidRDefault="00070362">
      <w:pPr>
        <w:pStyle w:val="Header"/>
        <w:tabs>
          <w:tab w:val="clear" w:pos="4320"/>
          <w:tab w:val="clear" w:pos="8640"/>
        </w:tabs>
        <w:rPr>
          <w:snapToGrid/>
          <w:color w:val="000000"/>
        </w:rPr>
      </w:pPr>
    </w:p>
    <w:p w14:paraId="55FB23D1"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Project Management for Type 1 Number Conversions – Contribution from Ron Steen</w:t>
      </w:r>
    </w:p>
    <w:p w14:paraId="1E99F0C7" w14:textId="77777777" w:rsidR="00070362" w:rsidRDefault="00070362">
      <w:pPr>
        <w:pStyle w:val="Header"/>
        <w:tabs>
          <w:tab w:val="clear" w:pos="4320"/>
          <w:tab w:val="clear" w:pos="8640"/>
        </w:tabs>
        <w:rPr>
          <w:snapToGrid/>
          <w:color w:val="000000"/>
        </w:rPr>
      </w:pPr>
    </w:p>
    <w:p w14:paraId="12B6D2B2" w14:textId="77777777" w:rsidR="00070362" w:rsidRDefault="00070362">
      <w:pPr>
        <w:pStyle w:val="Header"/>
        <w:tabs>
          <w:tab w:val="clear" w:pos="4320"/>
          <w:tab w:val="clear" w:pos="8640"/>
        </w:tabs>
        <w:rPr>
          <w:snapToGrid/>
          <w:color w:val="000000"/>
        </w:rPr>
      </w:pPr>
      <w:r>
        <w:rPr>
          <w:snapToGrid/>
          <w:color w:val="000000"/>
        </w:rPr>
        <w:t>Type 1 number conversions for dedicated NXXs (where all 10,000 numbers are dedicated to a single wireless carrier) can be completed now, because they do not require LNP technology.</w:t>
      </w:r>
    </w:p>
    <w:p w14:paraId="0ABDA652" w14:textId="77777777" w:rsidR="00070362" w:rsidRDefault="00070362">
      <w:pPr>
        <w:pStyle w:val="Header"/>
        <w:tabs>
          <w:tab w:val="clear" w:pos="4320"/>
          <w:tab w:val="clear" w:pos="8640"/>
        </w:tabs>
        <w:rPr>
          <w:snapToGrid/>
          <w:color w:val="000000"/>
        </w:rPr>
      </w:pPr>
    </w:p>
    <w:p w14:paraId="28A25F59" w14:textId="77777777" w:rsidR="00070362" w:rsidRDefault="00070362">
      <w:pPr>
        <w:pStyle w:val="Header"/>
        <w:tabs>
          <w:tab w:val="clear" w:pos="4320"/>
          <w:tab w:val="clear" w:pos="8640"/>
        </w:tabs>
        <w:rPr>
          <w:snapToGrid/>
          <w:color w:val="000000"/>
        </w:rPr>
      </w:pPr>
      <w:r>
        <w:rPr>
          <w:snapToGrid/>
          <w:color w:val="000000"/>
        </w:rPr>
        <w:lastRenderedPageBreak/>
        <w:t xml:space="preserve">Shared NXXs require the use LNP techniques.  For ranges of one thousand blocks pooling can be utilized.  For ranges of numbers that are less than one thousand blocks porting must be utilized.  </w:t>
      </w:r>
    </w:p>
    <w:p w14:paraId="78309EB6" w14:textId="77777777" w:rsidR="00070362" w:rsidRDefault="00070362">
      <w:pPr>
        <w:pStyle w:val="Header"/>
        <w:tabs>
          <w:tab w:val="clear" w:pos="4320"/>
          <w:tab w:val="clear" w:pos="8640"/>
        </w:tabs>
        <w:rPr>
          <w:snapToGrid/>
          <w:color w:val="000000"/>
        </w:rPr>
      </w:pPr>
    </w:p>
    <w:p w14:paraId="7C45B3F5" w14:textId="77777777" w:rsidR="00070362" w:rsidRDefault="00070362">
      <w:pPr>
        <w:pStyle w:val="Header"/>
        <w:tabs>
          <w:tab w:val="clear" w:pos="4320"/>
          <w:tab w:val="clear" w:pos="8640"/>
        </w:tabs>
        <w:rPr>
          <w:snapToGrid/>
          <w:color w:val="000000"/>
        </w:rPr>
      </w:pPr>
      <w:r>
        <w:rPr>
          <w:snapToGrid/>
          <w:color w:val="000000"/>
        </w:rPr>
        <w:t xml:space="preserve">The Snapback issue will need to be discussed and resolved.  If pooling is used to perform type 1 trunk </w:t>
      </w:r>
      <w:proofErr w:type="gramStart"/>
      <w:r>
        <w:rPr>
          <w:snapToGrid/>
          <w:color w:val="000000"/>
        </w:rPr>
        <w:t>conversions</w:t>
      </w:r>
      <w:proofErr w:type="gramEnd"/>
      <w:r>
        <w:rPr>
          <w:snapToGrid/>
          <w:color w:val="000000"/>
        </w:rPr>
        <w:t xml:space="preserve"> then vacant codes will </w:t>
      </w:r>
      <w:proofErr w:type="spellStart"/>
      <w:r>
        <w:rPr>
          <w:snapToGrid/>
          <w:color w:val="000000"/>
        </w:rPr>
        <w:t>snapback</w:t>
      </w:r>
      <w:proofErr w:type="spellEnd"/>
      <w:r>
        <w:rPr>
          <w:snapToGrid/>
          <w:color w:val="000000"/>
        </w:rPr>
        <w:t xml:space="preserve"> to the wireless carrier.  Problems will arise when porting is used for type 1 trunk conversions as vacant codes would </w:t>
      </w:r>
      <w:proofErr w:type="spellStart"/>
      <w:r>
        <w:rPr>
          <w:snapToGrid/>
          <w:color w:val="000000"/>
        </w:rPr>
        <w:t>snapback</w:t>
      </w:r>
      <w:proofErr w:type="spellEnd"/>
      <w:r>
        <w:rPr>
          <w:snapToGrid/>
          <w:color w:val="000000"/>
        </w:rPr>
        <w:t xml:space="preserve"> to the code holder, the wireline carrier.  This issue is currently being tracked under item number 0032 on the WNPO Issues &amp; Action Items matrix.  One team member reminded the team that it should remain aware of the INC pooling guidelines when addressing this issue.  </w:t>
      </w:r>
    </w:p>
    <w:p w14:paraId="1915CA59" w14:textId="77777777" w:rsidR="00070362" w:rsidRDefault="00070362">
      <w:pPr>
        <w:pStyle w:val="Header"/>
        <w:tabs>
          <w:tab w:val="clear" w:pos="4320"/>
          <w:tab w:val="clear" w:pos="8640"/>
        </w:tabs>
        <w:rPr>
          <w:snapToGrid/>
          <w:color w:val="000000"/>
        </w:rPr>
      </w:pPr>
    </w:p>
    <w:p w14:paraId="7400740C"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b/>
          <w:bCs/>
          <w:snapToGrid/>
          <w:color w:val="000000"/>
          <w:u w:val="single"/>
        </w:rPr>
        <w:t xml:space="preserve"> </w:t>
      </w:r>
      <w:r>
        <w:rPr>
          <w:snapToGrid/>
          <w:color w:val="000000"/>
        </w:rPr>
        <w:t>SPs to provide contributions on how to address the Snapback issue and addressing any other issues with the project management approach for Type 1 trunk conversions for discussion at the January meeting.</w:t>
      </w:r>
    </w:p>
    <w:p w14:paraId="5070E7A5" w14:textId="77777777" w:rsidR="00070362" w:rsidRDefault="00357E4A">
      <w:pPr>
        <w:pStyle w:val="Header"/>
        <w:tabs>
          <w:tab w:val="clear" w:pos="4320"/>
          <w:tab w:val="clear" w:pos="8640"/>
        </w:tabs>
        <w:rPr>
          <w:snapToGrid/>
          <w:color w:val="000000"/>
        </w:rPr>
      </w:pPr>
      <w:r>
        <w:rPr>
          <w:noProof/>
          <w:snapToGrid/>
          <w:color w:val="000000"/>
        </w:rPr>
        <w:object w:dxaOrig="1440" w:dyaOrig="1440" w14:anchorId="52086732">
          <v:shape id="_x0000_s2084" type="#_x0000_t75" style="position:absolute;margin-left:2.25pt;margin-top:26.2pt;width:76.5pt;height:49.5pt;z-index:251658752">
            <v:imagedata r:id="rId17" o:title=""/>
            <w10:wrap type="topAndBottom"/>
          </v:shape>
          <o:OLEObject Type="Embed" ProgID="PowerPoint.Show.8" ShapeID="_x0000_s2084" DrawAspect="Icon" ObjectID="_1734525863" r:id="rId18"/>
        </w:object>
      </w:r>
    </w:p>
    <w:p w14:paraId="16738561" w14:textId="77777777" w:rsidR="00070362" w:rsidRDefault="00070362">
      <w:pPr>
        <w:pStyle w:val="Header"/>
        <w:tabs>
          <w:tab w:val="clear" w:pos="4320"/>
          <w:tab w:val="clear" w:pos="8640"/>
        </w:tabs>
        <w:rPr>
          <w:snapToGrid/>
          <w:color w:val="000000"/>
        </w:rPr>
      </w:pPr>
      <w:r>
        <w:rPr>
          <w:snapToGrid/>
          <w:color w:val="000000"/>
        </w:rPr>
        <w:t>Below is Ron Steen’s contribution for the December meeting.</w:t>
      </w:r>
    </w:p>
    <w:p w14:paraId="68D084F2" w14:textId="77777777" w:rsidR="00070362" w:rsidRDefault="00070362">
      <w:pPr>
        <w:pStyle w:val="Header"/>
        <w:tabs>
          <w:tab w:val="clear" w:pos="4320"/>
          <w:tab w:val="clear" w:pos="8640"/>
        </w:tabs>
        <w:rPr>
          <w:snapToGrid/>
          <w:color w:val="000000"/>
        </w:rPr>
      </w:pPr>
    </w:p>
    <w:p w14:paraId="22892649" w14:textId="77777777" w:rsidR="00070362" w:rsidRDefault="00070362">
      <w:pPr>
        <w:pStyle w:val="Header"/>
        <w:tabs>
          <w:tab w:val="clear" w:pos="4320"/>
          <w:tab w:val="clear" w:pos="8640"/>
        </w:tabs>
        <w:rPr>
          <w:snapToGrid/>
          <w:color w:val="000000"/>
        </w:rPr>
      </w:pPr>
    </w:p>
    <w:p w14:paraId="028E875B" w14:textId="77777777" w:rsidR="00070362" w:rsidRDefault="00070362">
      <w:pPr>
        <w:pStyle w:val="Header"/>
        <w:tabs>
          <w:tab w:val="clear" w:pos="4320"/>
          <w:tab w:val="clear" w:pos="8640"/>
        </w:tabs>
        <w:rPr>
          <w:snapToGrid/>
          <w:color w:val="000000"/>
        </w:rPr>
      </w:pPr>
    </w:p>
    <w:p w14:paraId="30EB5074"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Rehoming of Wireless Codes in an LNP Environment – Contribution from Patrick Lockett:</w:t>
      </w:r>
    </w:p>
    <w:p w14:paraId="4E7A33EE" w14:textId="77777777" w:rsidR="00070362" w:rsidRDefault="00070362">
      <w:pPr>
        <w:pStyle w:val="Header"/>
        <w:tabs>
          <w:tab w:val="clear" w:pos="4320"/>
          <w:tab w:val="clear" w:pos="8640"/>
        </w:tabs>
        <w:rPr>
          <w:snapToGrid/>
          <w:color w:val="000000"/>
        </w:rPr>
      </w:pPr>
    </w:p>
    <w:p w14:paraId="41270E5F" w14:textId="77777777" w:rsidR="00070362" w:rsidRDefault="00070362">
      <w:pPr>
        <w:pStyle w:val="Header"/>
        <w:tabs>
          <w:tab w:val="clear" w:pos="4320"/>
          <w:tab w:val="clear" w:pos="8640"/>
        </w:tabs>
        <w:rPr>
          <w:snapToGrid/>
          <w:color w:val="000000"/>
        </w:rPr>
      </w:pPr>
      <w:r>
        <w:rPr>
          <w:snapToGrid/>
          <w:color w:val="000000"/>
        </w:rPr>
        <w:t>One SP indicated that the Rehoming process is dependent upon how a SP has its network setup, and that SP did not believe it would have any problems here.</w:t>
      </w:r>
    </w:p>
    <w:p w14:paraId="125F3558" w14:textId="77777777" w:rsidR="00070362" w:rsidRDefault="00070362">
      <w:pPr>
        <w:pStyle w:val="Header"/>
        <w:tabs>
          <w:tab w:val="clear" w:pos="4320"/>
          <w:tab w:val="clear" w:pos="8640"/>
        </w:tabs>
        <w:rPr>
          <w:snapToGrid/>
          <w:color w:val="000000"/>
        </w:rPr>
      </w:pPr>
    </w:p>
    <w:p w14:paraId="698E3AD9"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snapToGrid/>
          <w:color w:val="000000"/>
        </w:rPr>
        <w:t xml:space="preserve"> Charlotte Holden to write up a contribution for the Rehoming of Wireless codes in an LNP environment for discussion at the January meeting.  The contribution should illustrate the billing system impacts.</w:t>
      </w:r>
    </w:p>
    <w:p w14:paraId="1074746C" w14:textId="77777777" w:rsidR="00070362" w:rsidRDefault="00070362">
      <w:pPr>
        <w:pStyle w:val="Header"/>
        <w:tabs>
          <w:tab w:val="clear" w:pos="4320"/>
          <w:tab w:val="clear" w:pos="8640"/>
        </w:tabs>
        <w:rPr>
          <w:b/>
          <w:bCs/>
          <w:snapToGrid/>
          <w:color w:val="000000"/>
          <w:u w:val="single"/>
        </w:rPr>
      </w:pPr>
    </w:p>
    <w:p w14:paraId="5EA301B0" w14:textId="77777777" w:rsidR="00070362" w:rsidRDefault="00070362">
      <w:pPr>
        <w:pStyle w:val="Header"/>
        <w:tabs>
          <w:tab w:val="clear" w:pos="4320"/>
          <w:tab w:val="clear" w:pos="8640"/>
        </w:tabs>
        <w:rPr>
          <w:b/>
          <w:bCs/>
          <w:snapToGrid/>
          <w:color w:val="000000"/>
          <w:u w:val="single"/>
        </w:rPr>
      </w:pPr>
      <w:r>
        <w:rPr>
          <w:b/>
          <w:bCs/>
          <w:snapToGrid/>
          <w:color w:val="000000"/>
          <w:highlight w:val="yellow"/>
          <w:u w:val="single"/>
        </w:rPr>
        <w:t>ACTION:</w:t>
      </w:r>
      <w:r>
        <w:rPr>
          <w:b/>
          <w:bCs/>
          <w:snapToGrid/>
          <w:color w:val="000000"/>
          <w:u w:val="single"/>
        </w:rPr>
        <w:t xml:space="preserve"> </w:t>
      </w:r>
      <w:r>
        <w:rPr>
          <w:snapToGrid/>
          <w:color w:val="000000"/>
        </w:rPr>
        <w:t xml:space="preserve">SPs to be prepared to discuss how rehoming of wireless codes should be accomplished - for discussion in January.  </w:t>
      </w:r>
    </w:p>
    <w:p w14:paraId="2E84AE75" w14:textId="77777777" w:rsidR="00070362" w:rsidRDefault="00070362">
      <w:pPr>
        <w:pStyle w:val="Header"/>
        <w:tabs>
          <w:tab w:val="clear" w:pos="4320"/>
          <w:tab w:val="clear" w:pos="8640"/>
        </w:tabs>
        <w:rPr>
          <w:b/>
          <w:bCs/>
          <w:snapToGrid/>
          <w:color w:val="000000"/>
          <w:u w:val="single"/>
        </w:rPr>
      </w:pPr>
    </w:p>
    <w:p w14:paraId="33257919" w14:textId="77777777" w:rsidR="00070362" w:rsidRDefault="00070362">
      <w:pPr>
        <w:pStyle w:val="Header"/>
        <w:tabs>
          <w:tab w:val="clear" w:pos="4320"/>
          <w:tab w:val="clear" w:pos="8640"/>
        </w:tabs>
        <w:rPr>
          <w:snapToGrid/>
          <w:color w:val="000000"/>
        </w:rPr>
      </w:pPr>
      <w:r>
        <w:rPr>
          <w:b/>
          <w:bCs/>
          <w:snapToGrid/>
          <w:color w:val="000000"/>
          <w:highlight w:val="yellow"/>
          <w:u w:val="single"/>
        </w:rPr>
        <w:t>ACTION:</w:t>
      </w:r>
      <w:r>
        <w:rPr>
          <w:b/>
          <w:bCs/>
          <w:snapToGrid/>
          <w:color w:val="000000"/>
          <w:u w:val="single"/>
        </w:rPr>
        <w:t xml:space="preserve"> </w:t>
      </w:r>
      <w:r>
        <w:rPr>
          <w:snapToGrid/>
          <w:color w:val="000000"/>
        </w:rPr>
        <w:t>SPs to formalize questions/issues and email them to Jim Grasser by 12/21/01so that Patrick Lockett can be prepared to respond to them at the January meeting.</w:t>
      </w:r>
    </w:p>
    <w:p w14:paraId="3FA38F92" w14:textId="77777777" w:rsidR="00070362" w:rsidRDefault="00070362">
      <w:pPr>
        <w:pStyle w:val="Header"/>
        <w:tabs>
          <w:tab w:val="clear" w:pos="4320"/>
          <w:tab w:val="clear" w:pos="8640"/>
        </w:tabs>
        <w:rPr>
          <w:snapToGrid/>
          <w:color w:val="000000"/>
        </w:rPr>
      </w:pPr>
    </w:p>
    <w:p w14:paraId="00C7A591" w14:textId="77777777" w:rsidR="00070362" w:rsidRDefault="00070362">
      <w:pPr>
        <w:pStyle w:val="Header"/>
        <w:tabs>
          <w:tab w:val="clear" w:pos="4320"/>
          <w:tab w:val="clear" w:pos="8640"/>
        </w:tabs>
        <w:rPr>
          <w:b/>
          <w:bCs/>
          <w:snapToGrid/>
          <w:color w:val="000000"/>
          <w:u w:val="single"/>
        </w:rPr>
      </w:pPr>
      <w:r>
        <w:rPr>
          <w:snapToGrid/>
          <w:color w:val="000000"/>
        </w:rPr>
        <w:t>Below is the contribution from Patrick Lockett that was discussed at the December meeting.</w:t>
      </w:r>
    </w:p>
    <w:p w14:paraId="062750C5" w14:textId="77777777" w:rsidR="00070362" w:rsidRDefault="00357E4A">
      <w:pPr>
        <w:pStyle w:val="Header"/>
        <w:tabs>
          <w:tab w:val="clear" w:pos="4320"/>
          <w:tab w:val="clear" w:pos="8640"/>
        </w:tabs>
        <w:rPr>
          <w:b/>
          <w:bCs/>
          <w:snapToGrid/>
          <w:color w:val="000000"/>
          <w:u w:val="single"/>
        </w:rPr>
      </w:pPr>
      <w:r>
        <w:rPr>
          <w:b/>
          <w:bCs/>
          <w:noProof/>
          <w:snapToGrid/>
          <w:color w:val="000000"/>
          <w:u w:val="single"/>
        </w:rPr>
        <w:object w:dxaOrig="1440" w:dyaOrig="1440" w14:anchorId="276BCDF2">
          <v:shape id="_x0000_s2085" type="#_x0000_t75" style="position:absolute;margin-left:0;margin-top:0;width:83.8pt;height:54.15pt;z-index:251659776">
            <v:imagedata r:id="rId19" o:title=""/>
            <w10:wrap type="topAndBottom"/>
          </v:shape>
          <o:OLEObject Type="Embed" ProgID="Word.Document.8" ShapeID="_x0000_s2085" DrawAspect="Icon" ObjectID="_1734525864" r:id="rId20">
            <o:FieldCodes>\s</o:FieldCodes>
          </o:OLEObject>
        </w:object>
      </w:r>
    </w:p>
    <w:p w14:paraId="2D5245AC" w14:textId="77777777" w:rsidR="00070362" w:rsidRDefault="00070362">
      <w:pPr>
        <w:pStyle w:val="Header"/>
        <w:tabs>
          <w:tab w:val="clear" w:pos="4320"/>
          <w:tab w:val="clear" w:pos="8640"/>
        </w:tabs>
        <w:rPr>
          <w:b/>
          <w:bCs/>
          <w:snapToGrid/>
          <w:color w:val="000000"/>
          <w:u w:val="single"/>
        </w:rPr>
      </w:pPr>
    </w:p>
    <w:p w14:paraId="4847ADFC" w14:textId="77777777" w:rsidR="00070362" w:rsidRDefault="00070362">
      <w:pPr>
        <w:pStyle w:val="Header"/>
        <w:tabs>
          <w:tab w:val="clear" w:pos="4320"/>
          <w:tab w:val="clear" w:pos="8640"/>
        </w:tabs>
        <w:rPr>
          <w:b/>
          <w:bCs/>
          <w:snapToGrid/>
          <w:color w:val="000000"/>
          <w:u w:val="single"/>
        </w:rPr>
      </w:pPr>
    </w:p>
    <w:p w14:paraId="00EA7694" w14:textId="77777777" w:rsidR="00070362" w:rsidRDefault="00070362">
      <w:pPr>
        <w:pStyle w:val="Header"/>
        <w:tabs>
          <w:tab w:val="clear" w:pos="4320"/>
          <w:tab w:val="clear" w:pos="8640"/>
        </w:tabs>
        <w:rPr>
          <w:snapToGrid/>
          <w:color w:val="000000"/>
          <w:sz w:val="24"/>
          <w:u w:val="single"/>
        </w:rPr>
      </w:pPr>
      <w:r>
        <w:rPr>
          <w:snapToGrid/>
          <w:color w:val="000000"/>
          <w:sz w:val="24"/>
          <w:u w:val="single"/>
        </w:rPr>
        <w:t>Other:</w:t>
      </w:r>
    </w:p>
    <w:p w14:paraId="3DD3B547" w14:textId="77777777" w:rsidR="00070362" w:rsidRDefault="00070362" w:rsidP="00070362">
      <w:pPr>
        <w:pStyle w:val="Header"/>
        <w:numPr>
          <w:ilvl w:val="0"/>
          <w:numId w:val="4"/>
        </w:numPr>
        <w:tabs>
          <w:tab w:val="clear" w:pos="4320"/>
          <w:tab w:val="clear" w:pos="8640"/>
        </w:tabs>
        <w:rPr>
          <w:snapToGrid/>
          <w:color w:val="000000"/>
        </w:rPr>
      </w:pPr>
      <w:r>
        <w:rPr>
          <w:snapToGrid/>
          <w:color w:val="000000"/>
        </w:rPr>
        <w:t>All contributions for the January meeting are due by 6pm on 1/1/02.</w:t>
      </w:r>
    </w:p>
    <w:p w14:paraId="7DDE3065" w14:textId="77777777" w:rsidR="00070362" w:rsidRDefault="00070362" w:rsidP="00070362">
      <w:pPr>
        <w:pStyle w:val="Header"/>
        <w:numPr>
          <w:ilvl w:val="0"/>
          <w:numId w:val="4"/>
        </w:numPr>
        <w:tabs>
          <w:tab w:val="clear" w:pos="4320"/>
          <w:tab w:val="clear" w:pos="8640"/>
        </w:tabs>
        <w:rPr>
          <w:snapToGrid/>
          <w:color w:val="000000"/>
        </w:rPr>
      </w:pPr>
      <w:r>
        <w:rPr>
          <w:snapToGrid/>
          <w:color w:val="000000"/>
        </w:rPr>
        <w:t>The WNPO Contribution form is located on the NPAC website (under WNPO).</w:t>
      </w:r>
    </w:p>
    <w:p w14:paraId="4FF3828F" w14:textId="77777777" w:rsidR="00070362" w:rsidRDefault="00070362" w:rsidP="00070362">
      <w:pPr>
        <w:pStyle w:val="Header"/>
        <w:numPr>
          <w:ilvl w:val="0"/>
          <w:numId w:val="4"/>
        </w:numPr>
        <w:tabs>
          <w:tab w:val="clear" w:pos="4320"/>
          <w:tab w:val="clear" w:pos="8640"/>
        </w:tabs>
        <w:rPr>
          <w:snapToGrid/>
          <w:color w:val="000000"/>
        </w:rPr>
      </w:pPr>
      <w:r>
        <w:rPr>
          <w:b/>
          <w:bCs/>
          <w:snapToGrid/>
          <w:color w:val="000000"/>
          <w:highlight w:val="yellow"/>
          <w:u w:val="single"/>
        </w:rPr>
        <w:t>ACTION:</w:t>
      </w:r>
      <w:r>
        <w:rPr>
          <w:snapToGrid/>
          <w:color w:val="000000"/>
        </w:rPr>
        <w:t xml:space="preserve"> Team members must submit contributions for items to be re-addressed/re-introduced if they have already been covered in previous discussions.</w:t>
      </w:r>
    </w:p>
    <w:p w14:paraId="4BE48921" w14:textId="77777777" w:rsidR="00070362" w:rsidRDefault="00070362" w:rsidP="00070362">
      <w:pPr>
        <w:pStyle w:val="Header"/>
        <w:numPr>
          <w:ilvl w:val="0"/>
          <w:numId w:val="4"/>
        </w:numPr>
        <w:tabs>
          <w:tab w:val="clear" w:pos="4320"/>
          <w:tab w:val="clear" w:pos="8640"/>
        </w:tabs>
        <w:rPr>
          <w:snapToGrid/>
          <w:color w:val="000000"/>
        </w:rPr>
      </w:pPr>
      <w:r>
        <w:rPr>
          <w:snapToGrid/>
          <w:color w:val="000000"/>
        </w:rPr>
        <w:t>A conference call will be held on 12/21/01 at 11am eastern to discuss the Risk Assessment Document.</w:t>
      </w:r>
    </w:p>
    <w:p w14:paraId="196DA762" w14:textId="77777777" w:rsidR="00070362" w:rsidRDefault="00070362" w:rsidP="00070362">
      <w:pPr>
        <w:pStyle w:val="Header"/>
        <w:numPr>
          <w:ilvl w:val="0"/>
          <w:numId w:val="4"/>
        </w:numPr>
        <w:tabs>
          <w:tab w:val="clear" w:pos="4320"/>
          <w:tab w:val="clear" w:pos="8640"/>
        </w:tabs>
        <w:rPr>
          <w:snapToGrid/>
          <w:color w:val="000000"/>
        </w:rPr>
      </w:pPr>
      <w:r>
        <w:rPr>
          <w:snapToGrid/>
          <w:color w:val="000000"/>
        </w:rPr>
        <w:t>A NENA call was held on 12/11/01 and the following WLNP issues were discussed:</w:t>
      </w:r>
    </w:p>
    <w:p w14:paraId="1EBB1FC3" w14:textId="77777777" w:rsidR="00070362" w:rsidRDefault="00070362" w:rsidP="00070362">
      <w:pPr>
        <w:pStyle w:val="Header"/>
        <w:numPr>
          <w:ilvl w:val="1"/>
          <w:numId w:val="4"/>
        </w:numPr>
        <w:tabs>
          <w:tab w:val="clear" w:pos="4320"/>
          <w:tab w:val="clear" w:pos="8640"/>
        </w:tabs>
        <w:rPr>
          <w:snapToGrid/>
          <w:color w:val="000000"/>
        </w:rPr>
      </w:pPr>
      <w:r>
        <w:rPr>
          <w:snapToGrid/>
          <w:color w:val="000000"/>
        </w:rPr>
        <w:t>How are uninitialized phones handled?</w:t>
      </w:r>
    </w:p>
    <w:p w14:paraId="0BBE486C" w14:textId="77777777" w:rsidR="00070362" w:rsidRDefault="00070362" w:rsidP="00070362">
      <w:pPr>
        <w:pStyle w:val="Header"/>
        <w:numPr>
          <w:ilvl w:val="1"/>
          <w:numId w:val="4"/>
        </w:numPr>
        <w:tabs>
          <w:tab w:val="clear" w:pos="4320"/>
          <w:tab w:val="clear" w:pos="8640"/>
        </w:tabs>
        <w:rPr>
          <w:snapToGrid/>
          <w:color w:val="000000"/>
        </w:rPr>
      </w:pPr>
      <w:r>
        <w:rPr>
          <w:snapToGrid/>
          <w:color w:val="000000"/>
        </w:rPr>
        <w:t>Is there a problem immediately powering up phone and dialing 911?</w:t>
      </w:r>
    </w:p>
    <w:p w14:paraId="1DECFCC7" w14:textId="77777777" w:rsidR="00070362" w:rsidRDefault="00070362" w:rsidP="00070362">
      <w:pPr>
        <w:pStyle w:val="Header"/>
        <w:numPr>
          <w:ilvl w:val="1"/>
          <w:numId w:val="4"/>
        </w:numPr>
        <w:tabs>
          <w:tab w:val="clear" w:pos="4320"/>
          <w:tab w:val="clear" w:pos="8640"/>
        </w:tabs>
        <w:rPr>
          <w:snapToGrid/>
          <w:color w:val="000000"/>
        </w:rPr>
      </w:pPr>
      <w:r>
        <w:rPr>
          <w:snapToGrid/>
          <w:color w:val="000000"/>
        </w:rPr>
        <w:t>What problems with roaming in not MIN/MDN compliant?</w:t>
      </w:r>
    </w:p>
    <w:p w14:paraId="27AA11D8" w14:textId="77777777" w:rsidR="00070362" w:rsidRDefault="00070362" w:rsidP="00070362">
      <w:pPr>
        <w:pStyle w:val="Header"/>
        <w:numPr>
          <w:ilvl w:val="0"/>
          <w:numId w:val="4"/>
        </w:numPr>
        <w:tabs>
          <w:tab w:val="clear" w:pos="4320"/>
          <w:tab w:val="clear" w:pos="8640"/>
        </w:tabs>
        <w:rPr>
          <w:snapToGrid/>
          <w:color w:val="000000"/>
        </w:rPr>
      </w:pPr>
      <w:r>
        <w:rPr>
          <w:snapToGrid/>
          <w:color w:val="000000"/>
        </w:rPr>
        <w:t>All agenda items that were not covered will be carried over to the next agenda.</w:t>
      </w:r>
    </w:p>
    <w:p w14:paraId="427B641C" w14:textId="77777777" w:rsidR="00070362" w:rsidRDefault="00070362">
      <w:pPr>
        <w:pStyle w:val="Header"/>
        <w:tabs>
          <w:tab w:val="clear" w:pos="4320"/>
          <w:tab w:val="clear" w:pos="8640"/>
        </w:tabs>
        <w:rPr>
          <w:snapToGrid/>
          <w:color w:val="000000"/>
        </w:rPr>
      </w:pPr>
    </w:p>
    <w:p w14:paraId="12BC5B72" w14:textId="77777777" w:rsidR="00070362" w:rsidRDefault="00070362">
      <w:pPr>
        <w:pStyle w:val="Header"/>
        <w:tabs>
          <w:tab w:val="clear" w:pos="4320"/>
          <w:tab w:val="clear" w:pos="8640"/>
        </w:tabs>
        <w:rPr>
          <w:b/>
          <w:bCs/>
          <w:snapToGrid/>
          <w:color w:val="000000"/>
          <w:u w:val="single"/>
        </w:rPr>
      </w:pPr>
    </w:p>
    <w:p w14:paraId="5F0CCCA6" w14:textId="77777777" w:rsidR="00070362" w:rsidRDefault="00070362">
      <w:pPr>
        <w:pStyle w:val="Header"/>
        <w:tabs>
          <w:tab w:val="clear" w:pos="4320"/>
          <w:tab w:val="clear" w:pos="8640"/>
        </w:tabs>
        <w:rPr>
          <w:b/>
          <w:bCs/>
          <w:snapToGrid/>
          <w:color w:val="000000"/>
          <w:u w:val="single"/>
        </w:rPr>
      </w:pPr>
    </w:p>
    <w:p w14:paraId="0913EAE7" w14:textId="77777777" w:rsidR="00070362" w:rsidRDefault="00070362">
      <w:pPr>
        <w:pStyle w:val="Heading1"/>
      </w:pPr>
      <w:r>
        <w:t>Next Meeting:</w:t>
      </w:r>
    </w:p>
    <w:p w14:paraId="5C27574A" w14:textId="77777777" w:rsidR="00070362" w:rsidRDefault="00070362">
      <w:pPr>
        <w:pStyle w:val="BodyText3"/>
        <w:rPr>
          <w:b/>
          <w:sz w:val="24"/>
        </w:rPr>
      </w:pPr>
    </w:p>
    <w:p w14:paraId="6C4C94A3" w14:textId="77777777" w:rsidR="00070362" w:rsidRDefault="00070362">
      <w:pPr>
        <w:pStyle w:val="BodyText3"/>
        <w:tabs>
          <w:tab w:val="left" w:pos="9630"/>
        </w:tabs>
        <w:rPr>
          <w:b/>
          <w:sz w:val="24"/>
        </w:rPr>
      </w:pPr>
      <w:r>
        <w:rPr>
          <w:b/>
          <w:sz w:val="24"/>
        </w:rPr>
        <w:t>January 7th 8:30am – 5:00pm (eastern time) and January 8th 8:30am – 12:00pm (eastern time) – Orlando, FL – Cingular Wireless</w:t>
      </w:r>
    </w:p>
    <w:p w14:paraId="50EF1A7D" w14:textId="77777777" w:rsidR="00070362" w:rsidRDefault="00070362">
      <w:pPr>
        <w:pStyle w:val="BodyText3"/>
        <w:rPr>
          <w:sz w:val="24"/>
        </w:rPr>
      </w:pPr>
    </w:p>
    <w:p w14:paraId="7FD80F30" w14:textId="77777777" w:rsidR="00070362" w:rsidRDefault="00070362">
      <w:pPr>
        <w:spacing w:before="120"/>
        <w:rPr>
          <w:b/>
          <w:color w:val="000000"/>
          <w:sz w:val="24"/>
        </w:rPr>
      </w:pPr>
    </w:p>
    <w:p w14:paraId="1ECBA637" w14:textId="77777777" w:rsidR="00070362" w:rsidRDefault="00070362">
      <w:pPr>
        <w:pStyle w:val="Heading1"/>
      </w:pPr>
      <w:r>
        <w:t>Future Meetings:</w:t>
      </w:r>
    </w:p>
    <w:p w14:paraId="05B4568A" w14:textId="77777777" w:rsidR="00070362" w:rsidRDefault="00070362">
      <w:pPr>
        <w:pStyle w:val="anotes"/>
        <w:tabs>
          <w:tab w:val="left" w:pos="3240"/>
          <w:tab w:val="left" w:pos="6840"/>
        </w:tabs>
        <w:spacing w:before="60"/>
        <w:rPr>
          <w:u w:val="single"/>
        </w:rPr>
      </w:pPr>
    </w:p>
    <w:p w14:paraId="72689557" w14:textId="77777777" w:rsidR="00070362" w:rsidRDefault="00070362">
      <w:pPr>
        <w:pStyle w:val="anotes"/>
        <w:tabs>
          <w:tab w:val="left" w:pos="3240"/>
          <w:tab w:val="left" w:pos="6840"/>
        </w:tabs>
        <w:spacing w:before="60"/>
      </w:pPr>
      <w:r>
        <w:rPr>
          <w:u w:val="single"/>
        </w:rPr>
        <w:t>WNPO Dates:</w:t>
      </w:r>
      <w:r>
        <w:tab/>
      </w:r>
      <w:r>
        <w:rPr>
          <w:u w:val="single"/>
        </w:rPr>
        <w:t>Location &amp; Host</w:t>
      </w:r>
      <w:r>
        <w:t>:</w:t>
      </w:r>
      <w:r>
        <w:tab/>
        <w:t xml:space="preserve"> </w:t>
      </w:r>
      <w:r>
        <w:tab/>
      </w:r>
      <w:r>
        <w:tab/>
      </w:r>
      <w:r>
        <w:tab/>
      </w:r>
      <w:r>
        <w:tab/>
      </w:r>
    </w:p>
    <w:p w14:paraId="31362710" w14:textId="77777777" w:rsidR="00070362" w:rsidRDefault="00070362">
      <w:pPr>
        <w:pStyle w:val="anotes"/>
        <w:tabs>
          <w:tab w:val="left" w:pos="3240"/>
          <w:tab w:val="left" w:pos="6840"/>
        </w:tabs>
        <w:spacing w:before="60"/>
      </w:pPr>
      <w:r>
        <w:t>February 4 – 5</w:t>
      </w:r>
      <w:r>
        <w:tab/>
        <w:t>Dallas, TX – Business Edge Solutions</w:t>
      </w:r>
    </w:p>
    <w:p w14:paraId="05855F6B" w14:textId="77777777" w:rsidR="00070362" w:rsidRDefault="00070362">
      <w:pPr>
        <w:pStyle w:val="anotes"/>
        <w:tabs>
          <w:tab w:val="left" w:pos="3240"/>
          <w:tab w:val="left" w:pos="6840"/>
        </w:tabs>
        <w:spacing w:before="60"/>
      </w:pPr>
      <w:r>
        <w:t>March 4 – 5</w:t>
      </w:r>
      <w:r>
        <w:tab/>
        <w:t>St. Louis - SBC</w:t>
      </w:r>
    </w:p>
    <w:p w14:paraId="68AA2DBD" w14:textId="77777777" w:rsidR="00070362" w:rsidRDefault="00070362">
      <w:pPr>
        <w:pStyle w:val="anotes"/>
        <w:tabs>
          <w:tab w:val="left" w:pos="3240"/>
          <w:tab w:val="left" w:pos="6840"/>
        </w:tabs>
        <w:spacing w:before="60"/>
      </w:pPr>
      <w:r>
        <w:t>April 8 – 9</w:t>
      </w:r>
      <w:r>
        <w:tab/>
        <w:t>Kansas City, MO - Sprint</w:t>
      </w:r>
    </w:p>
    <w:p w14:paraId="63A98965" w14:textId="77777777" w:rsidR="00070362" w:rsidRDefault="00070362">
      <w:pPr>
        <w:pStyle w:val="anotes"/>
        <w:tabs>
          <w:tab w:val="left" w:pos="3240"/>
          <w:tab w:val="left" w:pos="6840"/>
        </w:tabs>
        <w:spacing w:before="60"/>
      </w:pPr>
      <w:r>
        <w:t>May 13 – 14</w:t>
      </w:r>
      <w:r>
        <w:tab/>
        <w:t>Redmond, WA - AT&amp;T Wireless</w:t>
      </w:r>
    </w:p>
    <w:p w14:paraId="7A08CA72" w14:textId="77777777" w:rsidR="00070362" w:rsidRDefault="00070362">
      <w:pPr>
        <w:pStyle w:val="anotes"/>
        <w:tabs>
          <w:tab w:val="left" w:pos="3240"/>
          <w:tab w:val="left" w:pos="6840"/>
        </w:tabs>
        <w:spacing w:before="60"/>
      </w:pPr>
      <w:r>
        <w:t>June 10 – 11</w:t>
      </w:r>
      <w:r>
        <w:tab/>
        <w:t>OPEN</w:t>
      </w:r>
    </w:p>
    <w:p w14:paraId="3E4B60B0" w14:textId="77777777" w:rsidR="00070362" w:rsidRDefault="00070362">
      <w:pPr>
        <w:pStyle w:val="anotes"/>
        <w:tabs>
          <w:tab w:val="left" w:pos="3240"/>
          <w:tab w:val="left" w:pos="6840"/>
        </w:tabs>
        <w:spacing w:before="60"/>
      </w:pPr>
      <w:r>
        <w:t>July 8 – 9</w:t>
      </w:r>
      <w:r>
        <w:tab/>
        <w:t>U S Cellular - Chicago</w:t>
      </w:r>
    </w:p>
    <w:p w14:paraId="6CC921B7" w14:textId="77777777" w:rsidR="00070362" w:rsidRDefault="00070362">
      <w:pPr>
        <w:pStyle w:val="anotes"/>
        <w:tabs>
          <w:tab w:val="left" w:pos="3240"/>
          <w:tab w:val="left" w:pos="6840"/>
        </w:tabs>
        <w:spacing w:before="60"/>
      </w:pPr>
      <w:r>
        <w:t>August 12 – 13</w:t>
      </w:r>
      <w:r>
        <w:tab/>
      </w:r>
      <w:proofErr w:type="spellStart"/>
      <w:r>
        <w:t>Vancover</w:t>
      </w:r>
      <w:proofErr w:type="spellEnd"/>
      <w:r>
        <w:t>, BC - Canadian Consortium</w:t>
      </w:r>
    </w:p>
    <w:p w14:paraId="7B1F6B41" w14:textId="77777777" w:rsidR="00070362" w:rsidRDefault="00070362">
      <w:pPr>
        <w:pStyle w:val="anotes"/>
        <w:tabs>
          <w:tab w:val="left" w:pos="3240"/>
          <w:tab w:val="left" w:pos="6840"/>
        </w:tabs>
        <w:spacing w:before="60"/>
      </w:pPr>
      <w:r>
        <w:t>September 16 – 17</w:t>
      </w:r>
      <w:r>
        <w:tab/>
        <w:t>Baltimore, MD - Verizon</w:t>
      </w:r>
    </w:p>
    <w:p w14:paraId="7F628D87" w14:textId="77777777" w:rsidR="00070362" w:rsidRDefault="00070362">
      <w:pPr>
        <w:pStyle w:val="anotes"/>
        <w:tabs>
          <w:tab w:val="left" w:pos="3240"/>
          <w:tab w:val="left" w:pos="6840"/>
        </w:tabs>
        <w:spacing w:before="60"/>
      </w:pPr>
      <w:r>
        <w:t>October 14 – 15</w:t>
      </w:r>
      <w:r>
        <w:tab/>
        <w:t>Denver, CO - ESI</w:t>
      </w:r>
    </w:p>
    <w:p w14:paraId="02DC6A0F" w14:textId="77777777" w:rsidR="00070362" w:rsidRDefault="00070362">
      <w:pPr>
        <w:pStyle w:val="anotes"/>
        <w:tabs>
          <w:tab w:val="left" w:pos="3240"/>
          <w:tab w:val="left" w:pos="6840"/>
        </w:tabs>
        <w:spacing w:before="60"/>
      </w:pPr>
      <w:r>
        <w:t>November 11 – 12</w:t>
      </w:r>
      <w:r>
        <w:tab/>
        <w:t>Atlanta - Cox Communications</w:t>
      </w:r>
    </w:p>
    <w:p w14:paraId="5CDD7838" w14:textId="77777777" w:rsidR="00070362" w:rsidRDefault="00070362">
      <w:pPr>
        <w:pStyle w:val="anotes"/>
        <w:tabs>
          <w:tab w:val="left" w:pos="3240"/>
          <w:tab w:val="left" w:pos="6840"/>
        </w:tabs>
        <w:spacing w:before="60"/>
      </w:pPr>
      <w:r>
        <w:t>December 9 – 10</w:t>
      </w:r>
      <w:r>
        <w:tab/>
      </w:r>
      <w:proofErr w:type="spellStart"/>
      <w:r>
        <w:t>NeuStar</w:t>
      </w:r>
      <w:proofErr w:type="spellEnd"/>
      <w:r>
        <w:t xml:space="preserve"> (tentative)</w:t>
      </w:r>
    </w:p>
    <w:p w14:paraId="3759F415" w14:textId="77777777" w:rsidR="00070362" w:rsidRDefault="00070362">
      <w:pPr>
        <w:pStyle w:val="anotes"/>
        <w:tabs>
          <w:tab w:val="left" w:pos="3240"/>
          <w:tab w:val="left" w:pos="6840"/>
        </w:tabs>
        <w:spacing w:before="60"/>
      </w:pPr>
    </w:p>
    <w:p w14:paraId="10F59E27" w14:textId="77777777" w:rsidR="00070362" w:rsidRDefault="00070362">
      <w:pPr>
        <w:pStyle w:val="anotes"/>
        <w:tabs>
          <w:tab w:val="left" w:pos="3240"/>
          <w:tab w:val="left" w:pos="6840"/>
        </w:tabs>
        <w:spacing w:before="60"/>
      </w:pPr>
    </w:p>
    <w:p w14:paraId="39C0ED73" w14:textId="77777777" w:rsidR="00070362" w:rsidRDefault="00070362">
      <w:pPr>
        <w:pStyle w:val="anotes"/>
        <w:tabs>
          <w:tab w:val="left" w:pos="3240"/>
          <w:tab w:val="left" w:pos="6840"/>
        </w:tabs>
        <w:spacing w:before="60"/>
      </w:pPr>
    </w:p>
    <w:p w14:paraId="39621FDB" w14:textId="77777777" w:rsidR="00070362" w:rsidRDefault="00070362">
      <w:pPr>
        <w:rPr>
          <w:b/>
          <w:color w:val="000000"/>
        </w:rPr>
      </w:pPr>
      <w:r>
        <w:rPr>
          <w:b/>
          <w:color w:val="000000"/>
          <w:sz w:val="24"/>
          <w:u w:val="single"/>
        </w:rPr>
        <w:t>Subscription to WNPO Team Distribution</w:t>
      </w:r>
      <w:r>
        <w:rPr>
          <w:color w:val="000000"/>
          <w:sz w:val="24"/>
        </w:rPr>
        <w:t>:</w:t>
      </w:r>
      <w:r>
        <w:rPr>
          <w:b/>
          <w:color w:val="000000"/>
        </w:rPr>
        <w:t xml:space="preserve"> </w:t>
      </w:r>
    </w:p>
    <w:p w14:paraId="046CEE8D" w14:textId="77777777" w:rsidR="00070362" w:rsidRDefault="00070362">
      <w:pPr>
        <w:rPr>
          <w:b/>
          <w:color w:val="000000"/>
        </w:rPr>
      </w:pPr>
    </w:p>
    <w:p w14:paraId="62085077" w14:textId="77777777" w:rsidR="00070362" w:rsidRDefault="00070362">
      <w:pPr>
        <w:rPr>
          <w:b/>
          <w:color w:val="000000"/>
        </w:rPr>
      </w:pPr>
      <w:r>
        <w:rPr>
          <w:b/>
          <w:color w:val="000000"/>
        </w:rPr>
        <w:t xml:space="preserve">To subscribe to the WNPO minutes, send an e-mail to </w:t>
      </w:r>
      <w:hyperlink r:id="rId21" w:history="1">
        <w:r>
          <w:rPr>
            <w:rStyle w:val="Hyperlink"/>
            <w:color w:val="000000"/>
          </w:rPr>
          <w:t>majordomo@telecomse.com</w:t>
        </w:r>
      </w:hyperlink>
      <w:r>
        <w:rPr>
          <w:b/>
          <w:color w:val="000000"/>
        </w:rPr>
        <w:t xml:space="preserve"> and in the body write &lt;subscribe </w:t>
      </w:r>
      <w:proofErr w:type="spellStart"/>
      <w:r>
        <w:rPr>
          <w:b/>
          <w:color w:val="000000"/>
        </w:rPr>
        <w:t>wireless_ops</w:t>
      </w:r>
      <w:proofErr w:type="spellEnd"/>
      <w:r>
        <w:rPr>
          <w:b/>
          <w:color w:val="000000"/>
        </w:rPr>
        <w:t>&gt;.</w:t>
      </w:r>
    </w:p>
    <w:p w14:paraId="7403DCBD" w14:textId="77777777" w:rsidR="00070362" w:rsidRDefault="00070362">
      <w:pPr>
        <w:rPr>
          <w:b/>
          <w:color w:val="000000"/>
        </w:rPr>
      </w:pPr>
    </w:p>
    <w:p w14:paraId="533833FF" w14:textId="77777777" w:rsidR="00070362" w:rsidRDefault="00070362">
      <w:pPr>
        <w:rPr>
          <w:b/>
          <w:color w:val="000000"/>
        </w:rPr>
      </w:pPr>
      <w:r>
        <w:rPr>
          <w:b/>
          <w:color w:val="000000"/>
        </w:rPr>
        <w:t xml:space="preserve">To remove yourself from the WNPO Team distribution list, send an e-mail to Majordomo@telecomse.com and in the body write &lt;unsubscribe </w:t>
      </w:r>
      <w:proofErr w:type="spellStart"/>
      <w:r>
        <w:rPr>
          <w:b/>
          <w:color w:val="000000"/>
        </w:rPr>
        <w:t>wireless_ops</w:t>
      </w:r>
      <w:proofErr w:type="spellEnd"/>
      <w:r>
        <w:rPr>
          <w:b/>
          <w:color w:val="000000"/>
        </w:rPr>
        <w:t>&gt;.</w:t>
      </w:r>
    </w:p>
    <w:p w14:paraId="2E2FA8DC" w14:textId="77777777" w:rsidR="00070362" w:rsidRDefault="00070362">
      <w:pPr>
        <w:pStyle w:val="Header"/>
        <w:tabs>
          <w:tab w:val="clear" w:pos="4320"/>
          <w:tab w:val="clear" w:pos="8640"/>
        </w:tabs>
        <w:rPr>
          <w:b/>
          <w:bCs/>
          <w:snapToGrid/>
          <w:color w:val="000000"/>
          <w:u w:val="single"/>
        </w:rPr>
      </w:pPr>
    </w:p>
    <w:sectPr w:rsidR="00070362">
      <w:headerReference w:type="default" r:id="rId22"/>
      <w:footerReference w:type="default" r:id="rId23"/>
      <w:pgSz w:w="12240" w:h="15840"/>
      <w:pgMar w:top="720" w:right="1152" w:bottom="576"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CB51" w14:textId="77777777" w:rsidR="00C16DE2" w:rsidRDefault="00C16DE2">
      <w:r>
        <w:separator/>
      </w:r>
    </w:p>
  </w:endnote>
  <w:endnote w:type="continuationSeparator" w:id="0">
    <w:p w14:paraId="3295A548" w14:textId="77777777" w:rsidR="00C16DE2" w:rsidRDefault="00C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AEA9" w14:textId="77777777" w:rsidR="00070362" w:rsidRDefault="00070362">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WNPO - Minutes 011210 &amp; 11 v.03.doc</w:t>
    </w:r>
    <w:r>
      <w:rPr>
        <w:sz w:val="18"/>
      </w:rPr>
      <w:fldChar w:fldCharType="end"/>
    </w:r>
    <w:r w:rsidR="00C16DE2">
      <w:rPr>
        <w:noProof/>
        <w:snapToGrid/>
        <w:sz w:val="18"/>
      </w:rPr>
      <mc:AlternateContent>
        <mc:Choice Requires="wps">
          <w:drawing>
            <wp:anchor distT="0" distB="0" distL="114300" distR="114300" simplePos="0" relativeHeight="251657728" behindDoc="0" locked="0" layoutInCell="0" allowOverlap="1" wp14:anchorId="43A16A9A" wp14:editId="22835FFA">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26B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7C27" w14:textId="77777777" w:rsidR="00C16DE2" w:rsidRDefault="00C16DE2">
      <w:r>
        <w:separator/>
      </w:r>
    </w:p>
  </w:footnote>
  <w:footnote w:type="continuationSeparator" w:id="0">
    <w:p w14:paraId="72F9904C" w14:textId="77777777" w:rsidR="00C16DE2" w:rsidRDefault="00C1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80AB" w14:textId="77777777" w:rsidR="00070362" w:rsidRDefault="00070362">
    <w:pPr>
      <w:pStyle w:val="Title"/>
      <w:rPr>
        <w:rFonts w:ascii="Arial" w:hAnsi="Arial"/>
        <w:sz w:val="28"/>
      </w:rPr>
    </w:pPr>
    <w:r>
      <w:rPr>
        <w:rFonts w:ascii="Arial" w:hAnsi="Arial"/>
        <w:sz w:val="28"/>
      </w:rPr>
      <w:t>WNPO Monthly Meeting Minutes</w:t>
    </w:r>
  </w:p>
  <w:p w14:paraId="0F4E0640" w14:textId="77777777" w:rsidR="00070362" w:rsidRDefault="00070362">
    <w:pPr>
      <w:pBdr>
        <w:bottom w:val="single" w:sz="6" w:space="1" w:color="auto"/>
      </w:pBdr>
      <w:spacing w:before="80" w:after="80"/>
      <w:jc w:val="center"/>
      <w:rPr>
        <w:b/>
        <w:sz w:val="24"/>
      </w:rPr>
    </w:pPr>
    <w:r>
      <w:rPr>
        <w:b/>
        <w:sz w:val="24"/>
      </w:rPr>
      <w:t xml:space="preserve">December 10 &amp; 11, 2001         New Orleans - </w:t>
    </w:r>
    <w:proofErr w:type="spellStart"/>
    <w:r>
      <w:rPr>
        <w:b/>
        <w:sz w:val="24"/>
      </w:rPr>
      <w:t>NeuStar</w:t>
    </w:r>
    <w:proofErr w:type="spellEnd"/>
  </w:p>
  <w:p w14:paraId="3F528ED4" w14:textId="77777777" w:rsidR="00070362" w:rsidRDefault="0007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322"/>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B82F25"/>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5C47FA"/>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E05EFC"/>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BDE6FB5"/>
    <w:multiLevelType w:val="multilevel"/>
    <w:tmpl w:val="2974AC9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2E7AB2"/>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F54C5F"/>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706CBD"/>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73F2EF4"/>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67263E"/>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74367189">
    <w:abstractNumId w:val="9"/>
  </w:num>
  <w:num w:numId="2" w16cid:durableId="216864844">
    <w:abstractNumId w:val="5"/>
  </w:num>
  <w:num w:numId="3" w16cid:durableId="1076516988">
    <w:abstractNumId w:val="6"/>
  </w:num>
  <w:num w:numId="4" w16cid:durableId="1402294165">
    <w:abstractNumId w:val="1"/>
  </w:num>
  <w:num w:numId="5" w16cid:durableId="1297641698">
    <w:abstractNumId w:val="8"/>
  </w:num>
  <w:num w:numId="6" w16cid:durableId="1315403944">
    <w:abstractNumId w:val="4"/>
  </w:num>
  <w:num w:numId="7" w16cid:durableId="628167485">
    <w:abstractNumId w:val="7"/>
  </w:num>
  <w:num w:numId="8" w16cid:durableId="1207139634">
    <w:abstractNumId w:val="2"/>
  </w:num>
  <w:num w:numId="9" w16cid:durableId="1193961989">
    <w:abstractNumId w:val="0"/>
  </w:num>
  <w:num w:numId="10" w16cid:durableId="21327035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8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B3"/>
    <w:rsid w:val="00070362"/>
    <w:rsid w:val="00357E4A"/>
    <w:rsid w:val="00696DB3"/>
    <w:rsid w:val="00AF1E2C"/>
    <w:rsid w:val="00C1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fill="f" fillcolor="white" stroke="f">
      <v:fill color="white" on="f"/>
      <v:stroke on="f"/>
    </o:shapedefaults>
    <o:shapelayout v:ext="edit">
      <o:idmap v:ext="edit" data="2"/>
    </o:shapelayout>
  </w:shapeDefaults>
  <w:decimalSymbol w:val="."/>
  <w:listSeparator w:val=","/>
  <w14:docId w14:val="125ED35C"/>
  <w15:chartTrackingRefBased/>
  <w15:docId w15:val="{71DC5A1B-FD38-409A-BF72-B75A9A8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olor w:val="000000"/>
      <w:sz w:val="24"/>
      <w:u w:val="single"/>
    </w:rPr>
  </w:style>
  <w:style w:type="paragraph" w:styleId="Heading2">
    <w:name w:val="heading 2"/>
    <w:basedOn w:val="Normal"/>
    <w:next w:val="Normal"/>
    <w:qFormat/>
    <w:pPr>
      <w:keepNext/>
      <w:outlineLvl w:val="1"/>
    </w:pPr>
    <w:rPr>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 w:type="paragraph" w:styleId="FootnoteText">
    <w:name w:val="footnote text"/>
    <w:basedOn w:val="Normal"/>
    <w:semiHidden/>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Microsoft_PowerPoint_97-2003_Presentation3.ppt"/><Relationship Id="rId3" Type="http://schemas.openxmlformats.org/officeDocument/2006/relationships/settings" Target="settings.xml"/><Relationship Id="rId21" Type="http://schemas.openxmlformats.org/officeDocument/2006/relationships/hyperlink" Target="mailto:majordomo@telecomse.com" TargetMode="External"/><Relationship Id="rId7" Type="http://schemas.openxmlformats.org/officeDocument/2006/relationships/image" Target="media/image1.wmf"/><Relationship Id="rId12" Type="http://schemas.openxmlformats.org/officeDocument/2006/relationships/oleObject" Target="embeddings/Microsoft_Word_97_-_2003_Document.doc"/><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Microsoft_PowerPoint_97-2003_Presentation.ppt"/><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1.doc"/><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5294</Words>
  <Characters>27026</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32256</CharactersWithSpaces>
  <SharedDoc>false</SharedDoc>
  <HLinks>
    <vt:vector size="6" baseType="variant">
      <vt:variant>
        <vt:i4>6946896</vt:i4>
      </vt:variant>
      <vt:variant>
        <vt:i4>0</vt:i4>
      </vt:variant>
      <vt:variant>
        <vt:i4>0</vt:i4>
      </vt:variant>
      <vt:variant>
        <vt:i4>5</vt:i4>
      </vt:variant>
      <vt:variant>
        <vt:lpwstr>mailto:majordomo@telecomse.com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2002-01-02T12:57:00Z</cp:lastPrinted>
  <dcterms:created xsi:type="dcterms:W3CDTF">2023-01-06T20:34:00Z</dcterms:created>
  <dcterms:modified xsi:type="dcterms:W3CDTF">2023-01-06T20:58:00Z</dcterms:modified>
</cp:coreProperties>
</file>