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5B8" w14:textId="77777777" w:rsidR="001A606D" w:rsidRDefault="001A606D">
      <w:pPr>
        <w:pStyle w:val="Title"/>
      </w:pPr>
      <w:r>
        <w:t>LNPA WORKING GROUP</w:t>
      </w:r>
    </w:p>
    <w:p w14:paraId="617746F0" w14:textId="77777777" w:rsidR="001A606D" w:rsidRDefault="006D7AF0">
      <w:pPr>
        <w:pStyle w:val="Title"/>
      </w:pPr>
      <w:r>
        <w:t>June</w:t>
      </w:r>
      <w:r w:rsidR="00A05149">
        <w:t xml:space="preserve"> 2006</w:t>
      </w:r>
      <w:r w:rsidR="009A06D9">
        <w:t xml:space="preserve"> Conference Call</w:t>
      </w:r>
    </w:p>
    <w:p w14:paraId="37E94FE3" w14:textId="77777777" w:rsidR="001A606D" w:rsidRDefault="00844708">
      <w:pPr>
        <w:pStyle w:val="Title"/>
      </w:pPr>
      <w:r>
        <w:t>Final</w:t>
      </w:r>
      <w:r w:rsidR="001A606D">
        <w:t xml:space="preserve"> Minutes</w:t>
      </w:r>
    </w:p>
    <w:p w14:paraId="0CAA841F" w14:textId="77777777" w:rsidR="001A606D" w:rsidRDefault="001A606D">
      <w:pPr>
        <w:rPr>
          <w:sz w:val="24"/>
        </w:rPr>
      </w:pPr>
    </w:p>
    <w:p w14:paraId="049B45C6" w14:textId="77777777" w:rsidR="001A606D" w:rsidRDefault="001A606D">
      <w:pPr>
        <w:rPr>
          <w:sz w:val="24"/>
        </w:rPr>
      </w:pPr>
    </w:p>
    <w:p w14:paraId="53D06C5C" w14:textId="77777777" w:rsidR="001A606D" w:rsidRDefault="006D7AF0">
      <w:pPr>
        <w:rPr>
          <w:sz w:val="24"/>
        </w:rPr>
      </w:pPr>
      <w:smartTag w:uri="urn:schemas-microsoft-com:office:smarttags" w:element="date">
        <w:smartTagPr>
          <w:attr w:name="Month" w:val="6"/>
          <w:attr w:name="Day" w:val="14"/>
          <w:attr w:name="Year" w:val="2006"/>
        </w:smartTagPr>
        <w:r>
          <w:rPr>
            <w:b/>
            <w:sz w:val="24"/>
            <w:u w:val="single"/>
          </w:rPr>
          <w:t>WEDNESDAY 6/14</w:t>
        </w:r>
        <w:r w:rsidR="001A606D">
          <w:rPr>
            <w:b/>
            <w:sz w:val="24"/>
            <w:u w:val="single"/>
          </w:rPr>
          <w:t>/0</w:t>
        </w:r>
        <w:r w:rsidR="00A05149">
          <w:rPr>
            <w:b/>
            <w:sz w:val="24"/>
            <w:u w:val="single"/>
          </w:rPr>
          <w:t>6</w:t>
        </w:r>
      </w:smartTag>
    </w:p>
    <w:p w14:paraId="7DD9DE6F" w14:textId="77777777" w:rsidR="001A606D" w:rsidRDefault="006D7AF0">
      <w:pPr>
        <w:spacing w:before="160" w:after="80"/>
        <w:rPr>
          <w:color w:val="000000"/>
          <w:sz w:val="24"/>
        </w:rPr>
      </w:pPr>
      <w:r>
        <w:rPr>
          <w:color w:val="000000"/>
          <w:sz w:val="24"/>
        </w:rPr>
        <w:t xml:space="preserve">Wednesday, </w:t>
      </w:r>
      <w:smartTag w:uri="urn:schemas-microsoft-com:office:smarttags" w:element="date">
        <w:smartTagPr>
          <w:attr w:name="Month" w:val="6"/>
          <w:attr w:name="Day" w:val="14"/>
          <w:attr w:name="Year" w:val="2006"/>
        </w:smartTagPr>
        <w:r>
          <w:rPr>
            <w:color w:val="000000"/>
            <w:sz w:val="24"/>
          </w:rPr>
          <w:t>6/14</w:t>
        </w:r>
        <w:r w:rsidR="00A05149">
          <w:rPr>
            <w:color w:val="000000"/>
            <w:sz w:val="24"/>
          </w:rPr>
          <w:t>/06</w:t>
        </w:r>
      </w:smartTag>
      <w:r w:rsidR="001A606D">
        <w:rPr>
          <w:color w:val="000000"/>
          <w:sz w:val="24"/>
        </w:rPr>
        <w:t xml:space="preserve">, </w:t>
      </w:r>
      <w:r w:rsidR="00C52567">
        <w:rPr>
          <w:color w:val="000000"/>
          <w:sz w:val="24"/>
        </w:rPr>
        <w:t xml:space="preserve">Conference Call </w:t>
      </w:r>
      <w:r w:rsidR="001A606D">
        <w:rPr>
          <w:color w:val="000000"/>
          <w:sz w:val="24"/>
        </w:rPr>
        <w:t>Attendance:</w:t>
      </w:r>
    </w:p>
    <w:p w14:paraId="2A374070" w14:textId="77777777" w:rsidR="00F9238F" w:rsidRDefault="00F9238F">
      <w:pPr>
        <w:spacing w:before="160" w:after="80"/>
        <w:rPr>
          <w:sz w:val="24"/>
        </w:rPr>
      </w:pPr>
      <w:r>
        <w:rPr>
          <w:color w:val="000000"/>
          <w:sz w:val="24"/>
        </w:rPr>
        <w:t>LNPA WG Participants:</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1A0BDB76" w14:textId="77777777">
        <w:tblPrEx>
          <w:tblCellMar>
            <w:top w:w="0" w:type="dxa"/>
            <w:bottom w:w="0" w:type="dxa"/>
          </w:tblCellMar>
        </w:tblPrEx>
        <w:trPr>
          <w:trHeight w:val="408"/>
        </w:trPr>
        <w:tc>
          <w:tcPr>
            <w:tcW w:w="1758" w:type="dxa"/>
            <w:shd w:val="solid" w:color="000080" w:fill="FFFFFF"/>
          </w:tcPr>
          <w:p w14:paraId="24AFC2C2" w14:textId="77777777" w:rsidR="001A606D" w:rsidRDefault="001A606D">
            <w:pPr>
              <w:rPr>
                <w:b/>
                <w:color w:val="FFFFFF"/>
              </w:rPr>
            </w:pPr>
            <w:r>
              <w:rPr>
                <w:b/>
                <w:color w:val="FFFFFF"/>
              </w:rPr>
              <w:t>Name</w:t>
            </w:r>
          </w:p>
        </w:tc>
        <w:tc>
          <w:tcPr>
            <w:tcW w:w="2590" w:type="dxa"/>
            <w:shd w:val="solid" w:color="000080" w:fill="FFFFFF"/>
          </w:tcPr>
          <w:p w14:paraId="05CF5D8E" w14:textId="77777777" w:rsidR="001A606D" w:rsidRDefault="001A606D">
            <w:pPr>
              <w:rPr>
                <w:b/>
                <w:color w:val="FFFFFF"/>
              </w:rPr>
            </w:pPr>
            <w:r>
              <w:rPr>
                <w:b/>
                <w:color w:val="FFFFFF"/>
              </w:rPr>
              <w:t>Company</w:t>
            </w:r>
          </w:p>
        </w:tc>
        <w:tc>
          <w:tcPr>
            <w:tcW w:w="2582" w:type="dxa"/>
            <w:shd w:val="solid" w:color="000080" w:fill="FFFFFF"/>
          </w:tcPr>
          <w:p w14:paraId="7F44B23A" w14:textId="77777777" w:rsidR="001A606D" w:rsidRDefault="001A606D">
            <w:pPr>
              <w:rPr>
                <w:b/>
                <w:color w:val="FFFFFF"/>
              </w:rPr>
            </w:pPr>
            <w:r>
              <w:rPr>
                <w:b/>
                <w:color w:val="FFFFFF"/>
              </w:rPr>
              <w:t>Name</w:t>
            </w:r>
          </w:p>
        </w:tc>
        <w:tc>
          <w:tcPr>
            <w:tcW w:w="2610" w:type="dxa"/>
            <w:gridSpan w:val="3"/>
            <w:shd w:val="solid" w:color="000080" w:fill="FFFFFF"/>
          </w:tcPr>
          <w:p w14:paraId="09764A44" w14:textId="77777777" w:rsidR="001A606D" w:rsidRDefault="001A606D">
            <w:pPr>
              <w:rPr>
                <w:b/>
                <w:color w:val="FFFFFF"/>
              </w:rPr>
            </w:pPr>
            <w:r>
              <w:rPr>
                <w:b/>
                <w:color w:val="FFFFFF"/>
              </w:rPr>
              <w:t>Company</w:t>
            </w:r>
          </w:p>
        </w:tc>
      </w:tr>
      <w:tr w:rsidR="00A90BDB" w14:paraId="52826F05" w14:textId="77777777">
        <w:tblPrEx>
          <w:tblCellMar>
            <w:top w:w="0" w:type="dxa"/>
            <w:bottom w:w="0" w:type="dxa"/>
          </w:tblCellMar>
        </w:tblPrEx>
        <w:trPr>
          <w:gridAfter w:val="1"/>
          <w:wAfter w:w="12" w:type="dxa"/>
          <w:trHeight w:val="319"/>
        </w:trPr>
        <w:tc>
          <w:tcPr>
            <w:tcW w:w="1758" w:type="dxa"/>
          </w:tcPr>
          <w:p w14:paraId="53EEFFA7" w14:textId="77777777" w:rsidR="00A90BDB" w:rsidRDefault="00A90BDB" w:rsidP="0031001C">
            <w:pPr>
              <w:tabs>
                <w:tab w:val="right" w:pos="2116"/>
              </w:tabs>
            </w:pPr>
            <w:r>
              <w:t>Tina Plaisance</w:t>
            </w:r>
          </w:p>
        </w:tc>
        <w:tc>
          <w:tcPr>
            <w:tcW w:w="2590" w:type="dxa"/>
          </w:tcPr>
          <w:p w14:paraId="12D295F1" w14:textId="77777777" w:rsidR="00A90BDB" w:rsidRDefault="00A90BDB" w:rsidP="0031001C">
            <w:r>
              <w:t>Alltel</w:t>
            </w:r>
          </w:p>
        </w:tc>
        <w:tc>
          <w:tcPr>
            <w:tcW w:w="2590" w:type="dxa"/>
            <w:gridSpan w:val="2"/>
          </w:tcPr>
          <w:p w14:paraId="33CF0416" w14:textId="77777777" w:rsidR="00A90BDB" w:rsidRDefault="00A90BDB" w:rsidP="00781494">
            <w:r>
              <w:t>Paul LaGattuta</w:t>
            </w:r>
          </w:p>
        </w:tc>
        <w:tc>
          <w:tcPr>
            <w:tcW w:w="2590" w:type="dxa"/>
          </w:tcPr>
          <w:p w14:paraId="27DC890D" w14:textId="77777777" w:rsidR="00A90BDB" w:rsidRDefault="00A90BDB" w:rsidP="00781494">
            <w:r>
              <w:t>NeuStar</w:t>
            </w:r>
          </w:p>
        </w:tc>
      </w:tr>
      <w:tr w:rsidR="00A90BDB" w14:paraId="42DBFB73" w14:textId="77777777">
        <w:tblPrEx>
          <w:tblCellMar>
            <w:top w:w="0" w:type="dxa"/>
            <w:bottom w:w="0" w:type="dxa"/>
          </w:tblCellMar>
        </w:tblPrEx>
        <w:trPr>
          <w:gridAfter w:val="1"/>
          <w:wAfter w:w="12" w:type="dxa"/>
          <w:trHeight w:val="319"/>
        </w:trPr>
        <w:tc>
          <w:tcPr>
            <w:tcW w:w="1758" w:type="dxa"/>
          </w:tcPr>
          <w:p w14:paraId="70E9EE9A" w14:textId="77777777" w:rsidR="00A90BDB" w:rsidRDefault="00A90BDB" w:rsidP="0031001C">
            <w:pPr>
              <w:tabs>
                <w:tab w:val="right" w:pos="2116"/>
              </w:tabs>
            </w:pPr>
            <w:r>
              <w:t>Scotty McDonald</w:t>
            </w:r>
          </w:p>
        </w:tc>
        <w:tc>
          <w:tcPr>
            <w:tcW w:w="2590" w:type="dxa"/>
          </w:tcPr>
          <w:p w14:paraId="59737757" w14:textId="77777777" w:rsidR="00A90BDB" w:rsidRDefault="00A90BDB" w:rsidP="0031001C">
            <w:r>
              <w:t>Alltel</w:t>
            </w:r>
          </w:p>
        </w:tc>
        <w:tc>
          <w:tcPr>
            <w:tcW w:w="2590" w:type="dxa"/>
            <w:gridSpan w:val="2"/>
          </w:tcPr>
          <w:p w14:paraId="3DB625F0" w14:textId="77777777" w:rsidR="00A90BDB" w:rsidRDefault="00A90BDB" w:rsidP="00781494">
            <w:pPr>
              <w:tabs>
                <w:tab w:val="right" w:pos="2116"/>
              </w:tabs>
            </w:pPr>
            <w:r>
              <w:t>Jim Rooks</w:t>
            </w:r>
          </w:p>
        </w:tc>
        <w:tc>
          <w:tcPr>
            <w:tcW w:w="2590" w:type="dxa"/>
          </w:tcPr>
          <w:p w14:paraId="0FDA4028" w14:textId="77777777" w:rsidR="00A90BDB" w:rsidRDefault="00A90BDB" w:rsidP="00781494">
            <w:r>
              <w:t>NeuStar</w:t>
            </w:r>
          </w:p>
        </w:tc>
      </w:tr>
      <w:tr w:rsidR="00A90BDB" w14:paraId="6A656711" w14:textId="77777777">
        <w:tblPrEx>
          <w:tblCellMar>
            <w:top w:w="0" w:type="dxa"/>
            <w:bottom w:w="0" w:type="dxa"/>
          </w:tblCellMar>
        </w:tblPrEx>
        <w:trPr>
          <w:gridAfter w:val="1"/>
          <w:wAfter w:w="12" w:type="dxa"/>
          <w:trHeight w:val="319"/>
        </w:trPr>
        <w:tc>
          <w:tcPr>
            <w:tcW w:w="1758" w:type="dxa"/>
          </w:tcPr>
          <w:p w14:paraId="0C4A381B" w14:textId="77777777" w:rsidR="00A90BDB" w:rsidRDefault="00A90BDB" w:rsidP="00781494">
            <w:pPr>
              <w:tabs>
                <w:tab w:val="right" w:pos="2116"/>
              </w:tabs>
            </w:pPr>
            <w:r>
              <w:t>Mark Lancaster</w:t>
            </w:r>
          </w:p>
        </w:tc>
        <w:tc>
          <w:tcPr>
            <w:tcW w:w="2590" w:type="dxa"/>
          </w:tcPr>
          <w:p w14:paraId="165728AC" w14:textId="77777777" w:rsidR="00A90BDB" w:rsidRDefault="00A90BDB" w:rsidP="00781494">
            <w:r>
              <w:t>at&amp;t</w:t>
            </w:r>
          </w:p>
        </w:tc>
        <w:tc>
          <w:tcPr>
            <w:tcW w:w="2590" w:type="dxa"/>
            <w:gridSpan w:val="2"/>
          </w:tcPr>
          <w:p w14:paraId="28BFFF31" w14:textId="77777777" w:rsidR="00A90BDB" w:rsidRDefault="00A90BDB" w:rsidP="00781494">
            <w:r>
              <w:t>John Nakamura</w:t>
            </w:r>
          </w:p>
        </w:tc>
        <w:tc>
          <w:tcPr>
            <w:tcW w:w="2590" w:type="dxa"/>
          </w:tcPr>
          <w:p w14:paraId="68ADB0D2" w14:textId="77777777" w:rsidR="00A90BDB" w:rsidRDefault="00A90BDB" w:rsidP="00781494">
            <w:r>
              <w:t>NeuStar</w:t>
            </w:r>
          </w:p>
        </w:tc>
      </w:tr>
      <w:tr w:rsidR="00A90BDB" w14:paraId="7A0A2260" w14:textId="77777777">
        <w:tblPrEx>
          <w:tblCellMar>
            <w:top w:w="0" w:type="dxa"/>
            <w:bottom w:w="0" w:type="dxa"/>
          </w:tblCellMar>
        </w:tblPrEx>
        <w:trPr>
          <w:gridAfter w:val="1"/>
          <w:wAfter w:w="12" w:type="dxa"/>
          <w:trHeight w:val="319"/>
        </w:trPr>
        <w:tc>
          <w:tcPr>
            <w:tcW w:w="1758" w:type="dxa"/>
          </w:tcPr>
          <w:p w14:paraId="4F2FDDE7" w14:textId="77777777" w:rsidR="00A90BDB" w:rsidRDefault="00A90BDB" w:rsidP="00781494">
            <w:r>
              <w:t>Ron Steen</w:t>
            </w:r>
          </w:p>
        </w:tc>
        <w:tc>
          <w:tcPr>
            <w:tcW w:w="2590" w:type="dxa"/>
          </w:tcPr>
          <w:p w14:paraId="7A60C1E1" w14:textId="77777777" w:rsidR="00A90BDB" w:rsidRDefault="00A90BDB" w:rsidP="00781494">
            <w:r>
              <w:t>BellSouth</w:t>
            </w:r>
          </w:p>
        </w:tc>
        <w:tc>
          <w:tcPr>
            <w:tcW w:w="2590" w:type="dxa"/>
            <w:gridSpan w:val="2"/>
          </w:tcPr>
          <w:p w14:paraId="6CFAC235" w14:textId="77777777" w:rsidR="00A90BDB" w:rsidRDefault="00A90BDB" w:rsidP="00781494">
            <w:pPr>
              <w:tabs>
                <w:tab w:val="right" w:pos="2116"/>
              </w:tabs>
            </w:pPr>
            <w:r>
              <w:t>Mike Whaley</w:t>
            </w:r>
          </w:p>
        </w:tc>
        <w:tc>
          <w:tcPr>
            <w:tcW w:w="2590" w:type="dxa"/>
          </w:tcPr>
          <w:p w14:paraId="6AF953A0" w14:textId="77777777" w:rsidR="00A90BDB" w:rsidRDefault="00A90BDB" w:rsidP="00781494">
            <w:r>
              <w:t>Qwest</w:t>
            </w:r>
          </w:p>
        </w:tc>
      </w:tr>
      <w:tr w:rsidR="00A90BDB" w14:paraId="3219B9ED" w14:textId="77777777">
        <w:tblPrEx>
          <w:tblCellMar>
            <w:top w:w="0" w:type="dxa"/>
            <w:bottom w:w="0" w:type="dxa"/>
          </w:tblCellMar>
        </w:tblPrEx>
        <w:trPr>
          <w:gridAfter w:val="1"/>
          <w:wAfter w:w="12" w:type="dxa"/>
          <w:trHeight w:val="319"/>
        </w:trPr>
        <w:tc>
          <w:tcPr>
            <w:tcW w:w="1758" w:type="dxa"/>
          </w:tcPr>
          <w:p w14:paraId="71D5A373" w14:textId="77777777" w:rsidR="00A90BDB" w:rsidRDefault="00A90BDB" w:rsidP="00781494">
            <w:r>
              <w:t>Dave Cochran</w:t>
            </w:r>
          </w:p>
        </w:tc>
        <w:tc>
          <w:tcPr>
            <w:tcW w:w="2590" w:type="dxa"/>
          </w:tcPr>
          <w:p w14:paraId="2BEC663E" w14:textId="77777777" w:rsidR="00A90BDB" w:rsidRDefault="00A90BDB" w:rsidP="00781494">
            <w:r>
              <w:t>BellSouth</w:t>
            </w:r>
          </w:p>
        </w:tc>
        <w:tc>
          <w:tcPr>
            <w:tcW w:w="2590" w:type="dxa"/>
            <w:gridSpan w:val="2"/>
          </w:tcPr>
          <w:p w14:paraId="271B2EEB" w14:textId="77777777" w:rsidR="00A90BDB" w:rsidRDefault="00A90BDB" w:rsidP="00781494">
            <w:pPr>
              <w:tabs>
                <w:tab w:val="right" w:pos="2116"/>
              </w:tabs>
            </w:pPr>
            <w:r>
              <w:t>Lavinia Rotaru</w:t>
            </w:r>
          </w:p>
        </w:tc>
        <w:tc>
          <w:tcPr>
            <w:tcW w:w="2590" w:type="dxa"/>
          </w:tcPr>
          <w:p w14:paraId="58E3B168" w14:textId="77777777" w:rsidR="00A90BDB" w:rsidRDefault="00A90BDB" w:rsidP="00781494">
            <w:r>
              <w:t>Sprint Nextel</w:t>
            </w:r>
          </w:p>
        </w:tc>
      </w:tr>
      <w:tr w:rsidR="00A90BDB" w14:paraId="0A64FD70" w14:textId="77777777">
        <w:tblPrEx>
          <w:tblCellMar>
            <w:top w:w="0" w:type="dxa"/>
            <w:bottom w:w="0" w:type="dxa"/>
          </w:tblCellMar>
        </w:tblPrEx>
        <w:trPr>
          <w:gridAfter w:val="1"/>
          <w:wAfter w:w="12" w:type="dxa"/>
          <w:trHeight w:val="319"/>
        </w:trPr>
        <w:tc>
          <w:tcPr>
            <w:tcW w:w="1758" w:type="dxa"/>
          </w:tcPr>
          <w:p w14:paraId="1FFE7617" w14:textId="77777777" w:rsidR="00A90BDB" w:rsidRDefault="00A90BDB" w:rsidP="00AB4827">
            <w:r>
              <w:t>Beth Chorosen</w:t>
            </w:r>
          </w:p>
        </w:tc>
        <w:tc>
          <w:tcPr>
            <w:tcW w:w="2590" w:type="dxa"/>
          </w:tcPr>
          <w:p w14:paraId="000524A7" w14:textId="77777777" w:rsidR="00A90BDB" w:rsidRDefault="00A90BDB" w:rsidP="00AB4827">
            <w:r>
              <w:t>Comcast</w:t>
            </w:r>
          </w:p>
        </w:tc>
        <w:tc>
          <w:tcPr>
            <w:tcW w:w="2590" w:type="dxa"/>
            <w:gridSpan w:val="2"/>
          </w:tcPr>
          <w:p w14:paraId="605BDB68" w14:textId="77777777" w:rsidR="00A90BDB" w:rsidRDefault="00A90BDB" w:rsidP="00781494">
            <w:r>
              <w:t>Steve Moore</w:t>
            </w:r>
          </w:p>
        </w:tc>
        <w:tc>
          <w:tcPr>
            <w:tcW w:w="2590" w:type="dxa"/>
          </w:tcPr>
          <w:p w14:paraId="3EFCFC39" w14:textId="77777777" w:rsidR="00A90BDB" w:rsidRDefault="00A90BDB" w:rsidP="00781494">
            <w:r>
              <w:t>Sprint Nextel</w:t>
            </w:r>
          </w:p>
        </w:tc>
      </w:tr>
      <w:tr w:rsidR="00A90BDB" w14:paraId="4D526A99" w14:textId="77777777">
        <w:tblPrEx>
          <w:tblCellMar>
            <w:top w:w="0" w:type="dxa"/>
            <w:bottom w:w="0" w:type="dxa"/>
          </w:tblCellMar>
        </w:tblPrEx>
        <w:trPr>
          <w:gridAfter w:val="1"/>
          <w:wAfter w:w="12" w:type="dxa"/>
          <w:trHeight w:val="319"/>
        </w:trPr>
        <w:tc>
          <w:tcPr>
            <w:tcW w:w="1758" w:type="dxa"/>
          </w:tcPr>
          <w:p w14:paraId="5F5B6649" w14:textId="77777777" w:rsidR="00A90BDB" w:rsidRDefault="00A90BDB" w:rsidP="00AB4827">
            <w:smartTag w:uri="urn:schemas-microsoft-com:office:smarttags" w:element="place">
              <w:smartTag w:uri="urn:schemas-microsoft-com:office:smarttags" w:element="City">
                <w:r>
                  <w:t>Nancy</w:t>
                </w:r>
              </w:smartTag>
            </w:smartTag>
            <w:r>
              <w:t xml:space="preserve"> Sanders</w:t>
            </w:r>
          </w:p>
        </w:tc>
        <w:tc>
          <w:tcPr>
            <w:tcW w:w="2590" w:type="dxa"/>
          </w:tcPr>
          <w:p w14:paraId="506FEBFD" w14:textId="77777777" w:rsidR="00A90BDB" w:rsidRDefault="00A90BDB" w:rsidP="00AB4827">
            <w:r>
              <w:t>Comcast</w:t>
            </w:r>
          </w:p>
        </w:tc>
        <w:tc>
          <w:tcPr>
            <w:tcW w:w="2590" w:type="dxa"/>
            <w:gridSpan w:val="2"/>
          </w:tcPr>
          <w:p w14:paraId="70BD3135" w14:textId="77777777" w:rsidR="00A90BDB" w:rsidRDefault="00A90BDB" w:rsidP="00781494">
            <w:r>
              <w:t>Susan Tiffany</w:t>
            </w:r>
          </w:p>
        </w:tc>
        <w:tc>
          <w:tcPr>
            <w:tcW w:w="2590" w:type="dxa"/>
          </w:tcPr>
          <w:p w14:paraId="2515B877" w14:textId="77777777" w:rsidR="00A90BDB" w:rsidRDefault="00A90BDB" w:rsidP="00781494">
            <w:r>
              <w:t>Sprint Nextel</w:t>
            </w:r>
          </w:p>
        </w:tc>
      </w:tr>
      <w:tr w:rsidR="00A90BDB" w14:paraId="64AB521C" w14:textId="77777777">
        <w:tblPrEx>
          <w:tblCellMar>
            <w:top w:w="0" w:type="dxa"/>
            <w:bottom w:w="0" w:type="dxa"/>
          </w:tblCellMar>
        </w:tblPrEx>
        <w:trPr>
          <w:gridAfter w:val="1"/>
          <w:wAfter w:w="12" w:type="dxa"/>
          <w:trHeight w:val="319"/>
        </w:trPr>
        <w:tc>
          <w:tcPr>
            <w:tcW w:w="1758" w:type="dxa"/>
          </w:tcPr>
          <w:p w14:paraId="6DD0405A" w14:textId="77777777" w:rsidR="00A90BDB" w:rsidRDefault="00A90BDB" w:rsidP="00AB4827">
            <w:r>
              <w:t>Tim Kagele</w:t>
            </w:r>
          </w:p>
        </w:tc>
        <w:tc>
          <w:tcPr>
            <w:tcW w:w="2590" w:type="dxa"/>
          </w:tcPr>
          <w:p w14:paraId="6941B58D" w14:textId="77777777" w:rsidR="00A90BDB" w:rsidRDefault="00A90BDB" w:rsidP="00AB4827">
            <w:r>
              <w:t>Comcast</w:t>
            </w:r>
          </w:p>
        </w:tc>
        <w:tc>
          <w:tcPr>
            <w:tcW w:w="2590" w:type="dxa"/>
            <w:gridSpan w:val="2"/>
          </w:tcPr>
          <w:p w14:paraId="18DEE1FA" w14:textId="77777777" w:rsidR="00A90BDB" w:rsidRDefault="00A90BDB" w:rsidP="00781494">
            <w:r>
              <w:t>Rosalee Pinnock</w:t>
            </w:r>
          </w:p>
        </w:tc>
        <w:tc>
          <w:tcPr>
            <w:tcW w:w="2590" w:type="dxa"/>
          </w:tcPr>
          <w:p w14:paraId="3990020C" w14:textId="77777777" w:rsidR="00A90BDB" w:rsidRDefault="00A90BDB" w:rsidP="00781494">
            <w:r>
              <w:t>Syniverse</w:t>
            </w:r>
          </w:p>
        </w:tc>
      </w:tr>
      <w:tr w:rsidR="00A90BDB" w14:paraId="153A55E3" w14:textId="77777777">
        <w:tblPrEx>
          <w:tblCellMar>
            <w:top w:w="0" w:type="dxa"/>
            <w:bottom w:w="0" w:type="dxa"/>
          </w:tblCellMar>
        </w:tblPrEx>
        <w:trPr>
          <w:gridAfter w:val="1"/>
          <w:wAfter w:w="12" w:type="dxa"/>
          <w:trHeight w:val="319"/>
        </w:trPr>
        <w:tc>
          <w:tcPr>
            <w:tcW w:w="1758" w:type="dxa"/>
          </w:tcPr>
          <w:p w14:paraId="1B79EE84" w14:textId="77777777" w:rsidR="00A90BDB" w:rsidRDefault="00A90BDB" w:rsidP="00E732C1">
            <w:r>
              <w:t>Lonnie Keck</w:t>
            </w:r>
          </w:p>
        </w:tc>
        <w:tc>
          <w:tcPr>
            <w:tcW w:w="2590" w:type="dxa"/>
          </w:tcPr>
          <w:p w14:paraId="2FBFF879" w14:textId="77777777" w:rsidR="00A90BDB" w:rsidRDefault="00A90BDB" w:rsidP="00E732C1">
            <w:r>
              <w:t>Cingular</w:t>
            </w:r>
          </w:p>
        </w:tc>
        <w:tc>
          <w:tcPr>
            <w:tcW w:w="2590" w:type="dxa"/>
            <w:gridSpan w:val="2"/>
          </w:tcPr>
          <w:p w14:paraId="72AC0E79" w14:textId="77777777" w:rsidR="00A90BDB" w:rsidRDefault="00A90BDB" w:rsidP="00781494">
            <w:r>
              <w:t>Colleen Collard</w:t>
            </w:r>
          </w:p>
        </w:tc>
        <w:tc>
          <w:tcPr>
            <w:tcW w:w="2590" w:type="dxa"/>
          </w:tcPr>
          <w:p w14:paraId="4DB433F6" w14:textId="77777777" w:rsidR="00A90BDB" w:rsidRDefault="00A90BDB" w:rsidP="00781494">
            <w:r>
              <w:t>Tekelec</w:t>
            </w:r>
          </w:p>
        </w:tc>
      </w:tr>
      <w:tr w:rsidR="00A90BDB" w14:paraId="537D7865" w14:textId="77777777">
        <w:tblPrEx>
          <w:tblCellMar>
            <w:top w:w="0" w:type="dxa"/>
            <w:bottom w:w="0" w:type="dxa"/>
          </w:tblCellMar>
        </w:tblPrEx>
        <w:trPr>
          <w:gridAfter w:val="1"/>
          <w:wAfter w:w="12" w:type="dxa"/>
          <w:trHeight w:val="319"/>
        </w:trPr>
        <w:tc>
          <w:tcPr>
            <w:tcW w:w="1758" w:type="dxa"/>
          </w:tcPr>
          <w:p w14:paraId="79FDA00E" w14:textId="77777777" w:rsidR="00A90BDB" w:rsidRDefault="00A90BDB" w:rsidP="00781494">
            <w:r>
              <w:t>Adele Johnson</w:t>
            </w:r>
          </w:p>
        </w:tc>
        <w:tc>
          <w:tcPr>
            <w:tcW w:w="2590" w:type="dxa"/>
          </w:tcPr>
          <w:p w14:paraId="11F23AF1" w14:textId="77777777" w:rsidR="00A90BDB" w:rsidRDefault="00A90BDB" w:rsidP="00781494">
            <w:r>
              <w:t>Cingular</w:t>
            </w:r>
          </w:p>
        </w:tc>
        <w:tc>
          <w:tcPr>
            <w:tcW w:w="2590" w:type="dxa"/>
            <w:gridSpan w:val="2"/>
          </w:tcPr>
          <w:p w14:paraId="14CBDACA" w14:textId="77777777" w:rsidR="00A90BDB" w:rsidRDefault="00A90BDB" w:rsidP="00781494">
            <w:r>
              <w:t>Kevin Greenwood</w:t>
            </w:r>
          </w:p>
        </w:tc>
        <w:tc>
          <w:tcPr>
            <w:tcW w:w="2590" w:type="dxa"/>
          </w:tcPr>
          <w:p w14:paraId="6B952370" w14:textId="77777777" w:rsidR="00A90BDB" w:rsidRDefault="00A90BDB" w:rsidP="00781494">
            <w:r>
              <w:t>Telcove</w:t>
            </w:r>
          </w:p>
        </w:tc>
      </w:tr>
      <w:tr w:rsidR="00A90BDB" w14:paraId="621D7FCE" w14:textId="77777777">
        <w:tblPrEx>
          <w:tblCellMar>
            <w:top w:w="0" w:type="dxa"/>
            <w:bottom w:w="0" w:type="dxa"/>
          </w:tblCellMar>
        </w:tblPrEx>
        <w:trPr>
          <w:gridAfter w:val="1"/>
          <w:wAfter w:w="12" w:type="dxa"/>
          <w:trHeight w:val="319"/>
        </w:trPr>
        <w:tc>
          <w:tcPr>
            <w:tcW w:w="1758" w:type="dxa"/>
          </w:tcPr>
          <w:p w14:paraId="0F80AC83" w14:textId="77777777" w:rsidR="00A90BDB" w:rsidRDefault="00A90BDB" w:rsidP="00E732C1">
            <w:r>
              <w:t>Vicki Goth</w:t>
            </w:r>
          </w:p>
        </w:tc>
        <w:tc>
          <w:tcPr>
            <w:tcW w:w="2590" w:type="dxa"/>
          </w:tcPr>
          <w:p w14:paraId="5666CDB1" w14:textId="77777777" w:rsidR="00A90BDB" w:rsidRDefault="00A90BDB" w:rsidP="00E732C1">
            <w:r>
              <w:t>Embarq</w:t>
            </w:r>
          </w:p>
        </w:tc>
        <w:tc>
          <w:tcPr>
            <w:tcW w:w="2590" w:type="dxa"/>
            <w:gridSpan w:val="2"/>
          </w:tcPr>
          <w:p w14:paraId="40EDF0AB" w14:textId="77777777" w:rsidR="00A90BDB" w:rsidRDefault="00A90BDB" w:rsidP="00781494">
            <w:r>
              <w:t>Colleen Thompson</w:t>
            </w:r>
          </w:p>
        </w:tc>
        <w:tc>
          <w:tcPr>
            <w:tcW w:w="2590" w:type="dxa"/>
          </w:tcPr>
          <w:p w14:paraId="0336A325" w14:textId="77777777" w:rsidR="00A90BDB" w:rsidRDefault="00A90BDB" w:rsidP="00781494">
            <w:r>
              <w:t>Telcove</w:t>
            </w:r>
          </w:p>
        </w:tc>
      </w:tr>
      <w:tr w:rsidR="00A90BDB" w14:paraId="6F336176" w14:textId="77777777">
        <w:tblPrEx>
          <w:tblCellMar>
            <w:top w:w="0" w:type="dxa"/>
            <w:bottom w:w="0" w:type="dxa"/>
          </w:tblCellMar>
        </w:tblPrEx>
        <w:trPr>
          <w:gridAfter w:val="1"/>
          <w:wAfter w:w="12" w:type="dxa"/>
          <w:trHeight w:val="319"/>
        </w:trPr>
        <w:tc>
          <w:tcPr>
            <w:tcW w:w="1758" w:type="dxa"/>
          </w:tcPr>
          <w:p w14:paraId="20BCF8FA" w14:textId="77777777" w:rsidR="00A90BDB" w:rsidRDefault="00A90BDB" w:rsidP="00781494">
            <w:r>
              <w:t>Kathee Glodowski</w:t>
            </w:r>
          </w:p>
        </w:tc>
        <w:tc>
          <w:tcPr>
            <w:tcW w:w="2590" w:type="dxa"/>
          </w:tcPr>
          <w:p w14:paraId="0CA851F6" w14:textId="77777777" w:rsidR="00A90BDB" w:rsidRDefault="00A90BDB" w:rsidP="00781494">
            <w:r>
              <w:t>Embarq</w:t>
            </w:r>
          </w:p>
        </w:tc>
        <w:tc>
          <w:tcPr>
            <w:tcW w:w="2590" w:type="dxa"/>
            <w:gridSpan w:val="2"/>
          </w:tcPr>
          <w:p w14:paraId="305CF441" w14:textId="77777777" w:rsidR="00A90BDB" w:rsidRDefault="00A90BDB" w:rsidP="00781494">
            <w:r>
              <w:t>Leslie Miklos</w:t>
            </w:r>
          </w:p>
        </w:tc>
        <w:tc>
          <w:tcPr>
            <w:tcW w:w="2590" w:type="dxa"/>
          </w:tcPr>
          <w:p w14:paraId="791329B1" w14:textId="77777777" w:rsidR="00A90BDB" w:rsidRDefault="00A90BDB" w:rsidP="00781494">
            <w:r>
              <w:t>Telcove</w:t>
            </w:r>
          </w:p>
        </w:tc>
      </w:tr>
      <w:tr w:rsidR="00A90BDB" w14:paraId="09FD598B" w14:textId="77777777">
        <w:tblPrEx>
          <w:tblCellMar>
            <w:top w:w="0" w:type="dxa"/>
            <w:bottom w:w="0" w:type="dxa"/>
          </w:tblCellMar>
        </w:tblPrEx>
        <w:trPr>
          <w:gridAfter w:val="1"/>
          <w:wAfter w:w="12" w:type="dxa"/>
          <w:trHeight w:val="319"/>
        </w:trPr>
        <w:tc>
          <w:tcPr>
            <w:tcW w:w="1758" w:type="dxa"/>
          </w:tcPr>
          <w:p w14:paraId="212ED6F1" w14:textId="77777777" w:rsidR="00A90BDB" w:rsidRDefault="00A90BDB" w:rsidP="00781494">
            <w:r>
              <w:t>Crystal Hanus</w:t>
            </w:r>
          </w:p>
        </w:tc>
        <w:tc>
          <w:tcPr>
            <w:tcW w:w="2590" w:type="dxa"/>
          </w:tcPr>
          <w:p w14:paraId="1CF8A4C2" w14:textId="77777777" w:rsidR="00A90BDB" w:rsidRDefault="00A90BDB" w:rsidP="00781494">
            <w:r>
              <w:t>GVNW</w:t>
            </w:r>
          </w:p>
        </w:tc>
        <w:tc>
          <w:tcPr>
            <w:tcW w:w="2590" w:type="dxa"/>
            <w:gridSpan w:val="2"/>
          </w:tcPr>
          <w:p w14:paraId="09D56BB7" w14:textId="77777777" w:rsidR="00A90BDB" w:rsidRDefault="00A90BDB" w:rsidP="00781494">
            <w:r>
              <w:t>Paula Jordan</w:t>
            </w:r>
          </w:p>
        </w:tc>
        <w:tc>
          <w:tcPr>
            <w:tcW w:w="2590" w:type="dxa"/>
          </w:tcPr>
          <w:p w14:paraId="5B91F8A9" w14:textId="77777777" w:rsidR="00A90BDB" w:rsidRDefault="00A90BDB" w:rsidP="00781494">
            <w:r>
              <w:t>T-Mobile</w:t>
            </w:r>
          </w:p>
        </w:tc>
      </w:tr>
      <w:tr w:rsidR="00A90BDB" w14:paraId="0AB5F133" w14:textId="77777777">
        <w:tblPrEx>
          <w:tblCellMar>
            <w:top w:w="0" w:type="dxa"/>
            <w:bottom w:w="0" w:type="dxa"/>
          </w:tblCellMar>
        </w:tblPrEx>
        <w:trPr>
          <w:gridAfter w:val="1"/>
          <w:wAfter w:w="12" w:type="dxa"/>
          <w:trHeight w:val="319"/>
        </w:trPr>
        <w:tc>
          <w:tcPr>
            <w:tcW w:w="1758" w:type="dxa"/>
          </w:tcPr>
          <w:p w14:paraId="5760DD6C" w14:textId="77777777" w:rsidR="00A90BDB" w:rsidRDefault="00A90BDB" w:rsidP="00781494">
            <w:r>
              <w:t>Ann Vick</w:t>
            </w:r>
          </w:p>
        </w:tc>
        <w:tc>
          <w:tcPr>
            <w:tcW w:w="2590" w:type="dxa"/>
          </w:tcPr>
          <w:p w14:paraId="3A1B4D5B" w14:textId="77777777" w:rsidR="00A90BDB" w:rsidRDefault="00A90BDB" w:rsidP="00781494">
            <w:r>
              <w:t>GVNW</w:t>
            </w:r>
          </w:p>
        </w:tc>
        <w:tc>
          <w:tcPr>
            <w:tcW w:w="2590" w:type="dxa"/>
            <w:gridSpan w:val="2"/>
          </w:tcPr>
          <w:p w14:paraId="44735CB9" w14:textId="77777777" w:rsidR="00A90BDB" w:rsidRDefault="00A90BDB" w:rsidP="00781494">
            <w:smartTag w:uri="urn:schemas-microsoft-com:office:smarttags" w:element="place">
              <w:smartTag w:uri="urn:schemas-microsoft-com:office:smarttags" w:element="City">
                <w:r>
                  <w:t>Gary</w:t>
                </w:r>
              </w:smartTag>
            </w:smartTag>
            <w:r>
              <w:t xml:space="preserve"> Sacra</w:t>
            </w:r>
          </w:p>
        </w:tc>
        <w:tc>
          <w:tcPr>
            <w:tcW w:w="2590" w:type="dxa"/>
          </w:tcPr>
          <w:p w14:paraId="18B8F5AF" w14:textId="77777777" w:rsidR="00A90BDB" w:rsidRDefault="00A90BDB" w:rsidP="00781494">
            <w:r>
              <w:t>Verizon</w:t>
            </w:r>
          </w:p>
        </w:tc>
      </w:tr>
      <w:tr w:rsidR="00A90BDB" w14:paraId="5EF0EB45" w14:textId="77777777">
        <w:tblPrEx>
          <w:tblCellMar>
            <w:top w:w="0" w:type="dxa"/>
            <w:bottom w:w="0" w:type="dxa"/>
          </w:tblCellMar>
        </w:tblPrEx>
        <w:trPr>
          <w:gridAfter w:val="1"/>
          <w:wAfter w:w="12" w:type="dxa"/>
          <w:trHeight w:val="319"/>
        </w:trPr>
        <w:tc>
          <w:tcPr>
            <w:tcW w:w="1758" w:type="dxa"/>
          </w:tcPr>
          <w:p w14:paraId="00F2F4F8" w14:textId="77777777" w:rsidR="00A90BDB" w:rsidRDefault="00A90BDB" w:rsidP="00781494">
            <w:r>
              <w:t>Syed Saifullah</w:t>
            </w:r>
          </w:p>
        </w:tc>
        <w:tc>
          <w:tcPr>
            <w:tcW w:w="2590" w:type="dxa"/>
          </w:tcPr>
          <w:p w14:paraId="03AC6D7E" w14:textId="77777777" w:rsidR="00A90BDB" w:rsidRDefault="00A90BDB" w:rsidP="00781494">
            <w:r>
              <w:t>NeuStar Clearinghouse</w:t>
            </w:r>
          </w:p>
        </w:tc>
        <w:tc>
          <w:tcPr>
            <w:tcW w:w="2590" w:type="dxa"/>
            <w:gridSpan w:val="2"/>
          </w:tcPr>
          <w:p w14:paraId="08F13260" w14:textId="77777777" w:rsidR="00A90BDB" w:rsidRDefault="00A90BDB" w:rsidP="00781494">
            <w:r>
              <w:t>Jason Lee</w:t>
            </w:r>
          </w:p>
        </w:tc>
        <w:tc>
          <w:tcPr>
            <w:tcW w:w="2590" w:type="dxa"/>
          </w:tcPr>
          <w:p w14:paraId="2826434F" w14:textId="77777777" w:rsidR="00A90BDB" w:rsidRDefault="00A90BDB" w:rsidP="00781494">
            <w:r>
              <w:t>Verizon</w:t>
            </w:r>
          </w:p>
        </w:tc>
      </w:tr>
      <w:tr w:rsidR="00A90BDB" w14:paraId="3ECB6526" w14:textId="77777777">
        <w:tblPrEx>
          <w:tblCellMar>
            <w:top w:w="0" w:type="dxa"/>
            <w:bottom w:w="0" w:type="dxa"/>
          </w:tblCellMar>
        </w:tblPrEx>
        <w:trPr>
          <w:gridAfter w:val="1"/>
          <w:wAfter w:w="12" w:type="dxa"/>
          <w:trHeight w:val="319"/>
        </w:trPr>
        <w:tc>
          <w:tcPr>
            <w:tcW w:w="1758" w:type="dxa"/>
          </w:tcPr>
          <w:p w14:paraId="5B7EA39C" w14:textId="77777777" w:rsidR="00A90BDB" w:rsidRDefault="00A90BDB" w:rsidP="00781494">
            <w:r>
              <w:t>Shannon Sevigny</w:t>
            </w:r>
          </w:p>
        </w:tc>
        <w:tc>
          <w:tcPr>
            <w:tcW w:w="2590" w:type="dxa"/>
          </w:tcPr>
          <w:p w14:paraId="245786F1" w14:textId="77777777" w:rsidR="00A90BDB" w:rsidRDefault="00A90BDB" w:rsidP="00781494">
            <w:r>
              <w:t>NeuStar Pooling</w:t>
            </w:r>
          </w:p>
        </w:tc>
        <w:tc>
          <w:tcPr>
            <w:tcW w:w="2590" w:type="dxa"/>
            <w:gridSpan w:val="2"/>
          </w:tcPr>
          <w:p w14:paraId="4CE09B46" w14:textId="77777777" w:rsidR="00A90BDB" w:rsidRDefault="00A90BDB" w:rsidP="00781494">
            <w:r>
              <w:t>Deb Tucker</w:t>
            </w:r>
          </w:p>
        </w:tc>
        <w:tc>
          <w:tcPr>
            <w:tcW w:w="2590" w:type="dxa"/>
          </w:tcPr>
          <w:p w14:paraId="5FB1B075" w14:textId="77777777" w:rsidR="00A90BDB" w:rsidRDefault="00A90BDB" w:rsidP="00781494">
            <w:r>
              <w:t>Verizon Wireless</w:t>
            </w:r>
          </w:p>
        </w:tc>
      </w:tr>
      <w:tr w:rsidR="00A90BDB" w14:paraId="1C2369FE" w14:textId="77777777">
        <w:tblPrEx>
          <w:tblCellMar>
            <w:top w:w="0" w:type="dxa"/>
            <w:bottom w:w="0" w:type="dxa"/>
          </w:tblCellMar>
        </w:tblPrEx>
        <w:trPr>
          <w:gridAfter w:val="1"/>
          <w:wAfter w:w="12" w:type="dxa"/>
          <w:trHeight w:val="319"/>
        </w:trPr>
        <w:tc>
          <w:tcPr>
            <w:tcW w:w="1758" w:type="dxa"/>
          </w:tcPr>
          <w:p w14:paraId="1BF44B2F" w14:textId="77777777" w:rsidR="00A90BDB" w:rsidRDefault="00A90BDB" w:rsidP="00781494">
            <w:r>
              <w:t>Stephen Addicks</w:t>
            </w:r>
          </w:p>
        </w:tc>
        <w:tc>
          <w:tcPr>
            <w:tcW w:w="2590" w:type="dxa"/>
          </w:tcPr>
          <w:p w14:paraId="05F4FE87" w14:textId="77777777" w:rsidR="00A90BDB" w:rsidRDefault="00A90BDB" w:rsidP="00781494">
            <w:r>
              <w:t xml:space="preserve">NeuStar </w:t>
            </w:r>
          </w:p>
        </w:tc>
        <w:tc>
          <w:tcPr>
            <w:tcW w:w="2590" w:type="dxa"/>
            <w:gridSpan w:val="2"/>
          </w:tcPr>
          <w:p w14:paraId="22D53A37" w14:textId="77777777" w:rsidR="00A90BDB" w:rsidRDefault="00A90BDB" w:rsidP="00781494">
            <w:r>
              <w:t>Sara Hooker</w:t>
            </w:r>
          </w:p>
        </w:tc>
        <w:tc>
          <w:tcPr>
            <w:tcW w:w="2590" w:type="dxa"/>
          </w:tcPr>
          <w:p w14:paraId="69271A28" w14:textId="77777777" w:rsidR="00A90BDB" w:rsidRDefault="00A90BDB" w:rsidP="00781494">
            <w:r>
              <w:t>Verizon Wireless</w:t>
            </w:r>
          </w:p>
        </w:tc>
      </w:tr>
      <w:tr w:rsidR="00A90BDB" w14:paraId="58C9DD78" w14:textId="77777777">
        <w:tblPrEx>
          <w:tblCellMar>
            <w:top w:w="0" w:type="dxa"/>
            <w:bottom w:w="0" w:type="dxa"/>
          </w:tblCellMar>
        </w:tblPrEx>
        <w:trPr>
          <w:gridAfter w:val="1"/>
          <w:wAfter w:w="12" w:type="dxa"/>
          <w:trHeight w:val="319"/>
        </w:trPr>
        <w:tc>
          <w:tcPr>
            <w:tcW w:w="1758" w:type="dxa"/>
          </w:tcPr>
          <w:p w14:paraId="15A5F99C" w14:textId="77777777" w:rsidR="00A90BDB" w:rsidRDefault="00A90BDB" w:rsidP="00781494">
            <w:pPr>
              <w:tabs>
                <w:tab w:val="right" w:pos="2116"/>
              </w:tabs>
            </w:pPr>
            <w:r>
              <w:t>Dave Garner</w:t>
            </w:r>
          </w:p>
        </w:tc>
        <w:tc>
          <w:tcPr>
            <w:tcW w:w="2590" w:type="dxa"/>
          </w:tcPr>
          <w:p w14:paraId="1B65A253" w14:textId="77777777" w:rsidR="00A90BDB" w:rsidRDefault="00A90BDB" w:rsidP="00781494">
            <w:r>
              <w:t>NeuStar</w:t>
            </w:r>
          </w:p>
        </w:tc>
        <w:tc>
          <w:tcPr>
            <w:tcW w:w="2590" w:type="dxa"/>
            <w:gridSpan w:val="2"/>
          </w:tcPr>
          <w:p w14:paraId="25111D06" w14:textId="77777777" w:rsidR="00A90BDB" w:rsidRDefault="00A90BDB" w:rsidP="00781494"/>
        </w:tc>
        <w:tc>
          <w:tcPr>
            <w:tcW w:w="2590" w:type="dxa"/>
          </w:tcPr>
          <w:p w14:paraId="1C9344FA" w14:textId="77777777" w:rsidR="00A90BDB" w:rsidRDefault="00A90BDB" w:rsidP="00781494"/>
        </w:tc>
      </w:tr>
      <w:tr w:rsidR="00A90BDB" w14:paraId="16C1B165" w14:textId="77777777">
        <w:tblPrEx>
          <w:tblCellMar>
            <w:top w:w="0" w:type="dxa"/>
            <w:bottom w:w="0" w:type="dxa"/>
          </w:tblCellMar>
        </w:tblPrEx>
        <w:trPr>
          <w:gridAfter w:val="1"/>
          <w:wAfter w:w="12" w:type="dxa"/>
          <w:trHeight w:val="319"/>
        </w:trPr>
        <w:tc>
          <w:tcPr>
            <w:tcW w:w="1758" w:type="dxa"/>
          </w:tcPr>
          <w:p w14:paraId="53423CB4" w14:textId="77777777" w:rsidR="00A90BDB" w:rsidRDefault="00A90BDB" w:rsidP="00AB4827"/>
        </w:tc>
        <w:tc>
          <w:tcPr>
            <w:tcW w:w="2590" w:type="dxa"/>
          </w:tcPr>
          <w:p w14:paraId="2F1FA5C0" w14:textId="77777777" w:rsidR="00A90BDB" w:rsidRDefault="00A90BDB" w:rsidP="00AB4827"/>
        </w:tc>
        <w:tc>
          <w:tcPr>
            <w:tcW w:w="2590" w:type="dxa"/>
            <w:gridSpan w:val="2"/>
          </w:tcPr>
          <w:p w14:paraId="6C2680DA" w14:textId="77777777" w:rsidR="00A90BDB" w:rsidRDefault="00A90BDB" w:rsidP="00781494"/>
        </w:tc>
        <w:tc>
          <w:tcPr>
            <w:tcW w:w="2590" w:type="dxa"/>
          </w:tcPr>
          <w:p w14:paraId="1C2A1DB0" w14:textId="77777777" w:rsidR="00A90BDB" w:rsidRDefault="00A90BDB" w:rsidP="00781494"/>
        </w:tc>
      </w:tr>
    </w:tbl>
    <w:p w14:paraId="1FBF3BF9" w14:textId="77777777" w:rsidR="001A606D" w:rsidRDefault="001A606D">
      <w:pPr>
        <w:rPr>
          <w:sz w:val="24"/>
        </w:rPr>
      </w:pPr>
    </w:p>
    <w:p w14:paraId="066C6F7D" w14:textId="77777777" w:rsidR="00A90BDB" w:rsidRDefault="00A90BDB" w:rsidP="00A90BDB">
      <w:pPr>
        <w:spacing w:before="160" w:after="80"/>
        <w:rPr>
          <w:sz w:val="24"/>
        </w:rPr>
      </w:pPr>
      <w:r>
        <w:rPr>
          <w:color w:val="000000"/>
          <w:sz w:val="24"/>
        </w:rPr>
        <w:t>INC Participants:</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A90BDB" w14:paraId="3F3BDA92" w14:textId="77777777">
        <w:tblPrEx>
          <w:tblCellMar>
            <w:top w:w="0" w:type="dxa"/>
            <w:bottom w:w="0" w:type="dxa"/>
          </w:tblCellMar>
        </w:tblPrEx>
        <w:trPr>
          <w:trHeight w:val="408"/>
        </w:trPr>
        <w:tc>
          <w:tcPr>
            <w:tcW w:w="1758" w:type="dxa"/>
            <w:shd w:val="solid" w:color="000080" w:fill="FFFFFF"/>
          </w:tcPr>
          <w:p w14:paraId="08FDD273" w14:textId="77777777" w:rsidR="00A90BDB" w:rsidRDefault="00A90BDB" w:rsidP="00781494">
            <w:pPr>
              <w:rPr>
                <w:b/>
                <w:color w:val="FFFFFF"/>
              </w:rPr>
            </w:pPr>
            <w:r>
              <w:rPr>
                <w:b/>
                <w:color w:val="FFFFFF"/>
              </w:rPr>
              <w:t>Name</w:t>
            </w:r>
          </w:p>
        </w:tc>
        <w:tc>
          <w:tcPr>
            <w:tcW w:w="2590" w:type="dxa"/>
            <w:shd w:val="solid" w:color="000080" w:fill="FFFFFF"/>
          </w:tcPr>
          <w:p w14:paraId="0C7F368F" w14:textId="77777777" w:rsidR="00A90BDB" w:rsidRDefault="00A90BDB" w:rsidP="00781494">
            <w:pPr>
              <w:rPr>
                <w:b/>
                <w:color w:val="FFFFFF"/>
              </w:rPr>
            </w:pPr>
            <w:r>
              <w:rPr>
                <w:b/>
                <w:color w:val="FFFFFF"/>
              </w:rPr>
              <w:t>Company</w:t>
            </w:r>
          </w:p>
        </w:tc>
        <w:tc>
          <w:tcPr>
            <w:tcW w:w="2582" w:type="dxa"/>
            <w:shd w:val="solid" w:color="000080" w:fill="FFFFFF"/>
          </w:tcPr>
          <w:p w14:paraId="075CC8F2" w14:textId="77777777" w:rsidR="00A90BDB" w:rsidRDefault="00A90BDB" w:rsidP="00781494">
            <w:pPr>
              <w:rPr>
                <w:b/>
                <w:color w:val="FFFFFF"/>
              </w:rPr>
            </w:pPr>
            <w:r>
              <w:rPr>
                <w:b/>
                <w:color w:val="FFFFFF"/>
              </w:rPr>
              <w:t>Name</w:t>
            </w:r>
          </w:p>
        </w:tc>
        <w:tc>
          <w:tcPr>
            <w:tcW w:w="2610" w:type="dxa"/>
            <w:gridSpan w:val="3"/>
            <w:shd w:val="solid" w:color="000080" w:fill="FFFFFF"/>
          </w:tcPr>
          <w:p w14:paraId="0D9599D9" w14:textId="77777777" w:rsidR="00A90BDB" w:rsidRDefault="00A90BDB" w:rsidP="00781494">
            <w:pPr>
              <w:rPr>
                <w:b/>
                <w:color w:val="FFFFFF"/>
              </w:rPr>
            </w:pPr>
            <w:r>
              <w:rPr>
                <w:b/>
                <w:color w:val="FFFFFF"/>
              </w:rPr>
              <w:t>Company</w:t>
            </w:r>
          </w:p>
        </w:tc>
      </w:tr>
      <w:tr w:rsidR="00A90BDB" w14:paraId="58722183" w14:textId="77777777">
        <w:tblPrEx>
          <w:tblCellMar>
            <w:top w:w="0" w:type="dxa"/>
            <w:bottom w:w="0" w:type="dxa"/>
          </w:tblCellMar>
        </w:tblPrEx>
        <w:trPr>
          <w:gridAfter w:val="1"/>
          <w:wAfter w:w="12" w:type="dxa"/>
          <w:trHeight w:val="319"/>
        </w:trPr>
        <w:tc>
          <w:tcPr>
            <w:tcW w:w="1758" w:type="dxa"/>
          </w:tcPr>
          <w:p w14:paraId="763CEA7A" w14:textId="77777777" w:rsidR="00A90BDB" w:rsidRPr="004A2F87" w:rsidRDefault="004A2F87" w:rsidP="00781494">
            <w:pPr>
              <w:tabs>
                <w:tab w:val="right" w:pos="2116"/>
              </w:tabs>
            </w:pPr>
            <w:r w:rsidRPr="004A2F87">
              <w:rPr>
                <w:color w:val="000000"/>
              </w:rPr>
              <w:t>Paula Hustead</w:t>
            </w:r>
          </w:p>
        </w:tc>
        <w:tc>
          <w:tcPr>
            <w:tcW w:w="2590" w:type="dxa"/>
          </w:tcPr>
          <w:p w14:paraId="19FC498D" w14:textId="77777777" w:rsidR="00A90BDB" w:rsidRPr="004A2F87" w:rsidRDefault="004A2F87" w:rsidP="00781494">
            <w:r>
              <w:t>Alltel</w:t>
            </w:r>
          </w:p>
        </w:tc>
        <w:tc>
          <w:tcPr>
            <w:tcW w:w="2590" w:type="dxa"/>
            <w:gridSpan w:val="2"/>
          </w:tcPr>
          <w:p w14:paraId="7E9E6A2E" w14:textId="77777777" w:rsidR="00A90BDB" w:rsidRPr="004A2F87" w:rsidRDefault="004A2F87" w:rsidP="004A2F87">
            <w:pPr>
              <w:autoSpaceDE w:val="0"/>
              <w:autoSpaceDN w:val="0"/>
              <w:adjustRightInd w:val="0"/>
              <w:spacing w:line="240" w:lineRule="atLeast"/>
              <w:rPr>
                <w:color w:val="000000"/>
              </w:rPr>
            </w:pPr>
            <w:r w:rsidRPr="004A2F87">
              <w:rPr>
                <w:color w:val="000000"/>
              </w:rPr>
              <w:t>Stacy Hartman</w:t>
            </w:r>
          </w:p>
        </w:tc>
        <w:tc>
          <w:tcPr>
            <w:tcW w:w="2590" w:type="dxa"/>
          </w:tcPr>
          <w:p w14:paraId="1E5C5D40" w14:textId="77777777" w:rsidR="00A90BDB" w:rsidRDefault="004A2F87" w:rsidP="00781494">
            <w:r>
              <w:t>Qwest</w:t>
            </w:r>
          </w:p>
        </w:tc>
      </w:tr>
      <w:tr w:rsidR="004A2F87" w14:paraId="3160E6FC" w14:textId="77777777">
        <w:tblPrEx>
          <w:tblCellMar>
            <w:top w:w="0" w:type="dxa"/>
            <w:bottom w:w="0" w:type="dxa"/>
          </w:tblCellMar>
        </w:tblPrEx>
        <w:trPr>
          <w:gridAfter w:val="1"/>
          <w:wAfter w:w="12" w:type="dxa"/>
          <w:trHeight w:val="319"/>
        </w:trPr>
        <w:tc>
          <w:tcPr>
            <w:tcW w:w="1758" w:type="dxa"/>
          </w:tcPr>
          <w:p w14:paraId="2D7C8073" w14:textId="77777777" w:rsidR="004A2F87" w:rsidRPr="004A2F87" w:rsidRDefault="004A2F87" w:rsidP="00781494">
            <w:pPr>
              <w:tabs>
                <w:tab w:val="right" w:pos="2116"/>
              </w:tabs>
            </w:pPr>
            <w:r w:rsidRPr="004A2F87">
              <w:rPr>
                <w:color w:val="000000"/>
              </w:rPr>
              <w:t>Jean-Paul Emard</w:t>
            </w:r>
          </w:p>
        </w:tc>
        <w:tc>
          <w:tcPr>
            <w:tcW w:w="2590" w:type="dxa"/>
          </w:tcPr>
          <w:p w14:paraId="1C5877CC" w14:textId="77777777" w:rsidR="004A2F87" w:rsidRPr="004A2F87" w:rsidRDefault="004A2F87" w:rsidP="00781494">
            <w:r w:rsidRPr="004A2F87">
              <w:t>ATIS</w:t>
            </w:r>
          </w:p>
        </w:tc>
        <w:tc>
          <w:tcPr>
            <w:tcW w:w="2590" w:type="dxa"/>
            <w:gridSpan w:val="2"/>
          </w:tcPr>
          <w:p w14:paraId="08F8938C" w14:textId="77777777" w:rsidR="004A2F87" w:rsidRPr="004A2F87" w:rsidRDefault="004A2F87" w:rsidP="004A2F87">
            <w:pPr>
              <w:autoSpaceDE w:val="0"/>
              <w:autoSpaceDN w:val="0"/>
              <w:adjustRightInd w:val="0"/>
              <w:spacing w:line="240" w:lineRule="atLeast"/>
              <w:rPr>
                <w:color w:val="000000"/>
              </w:rPr>
            </w:pPr>
            <w:r w:rsidRPr="004A2F87">
              <w:rPr>
                <w:color w:val="000000"/>
              </w:rPr>
              <w:t>Joe Hurlbert</w:t>
            </w:r>
          </w:p>
        </w:tc>
        <w:tc>
          <w:tcPr>
            <w:tcW w:w="2590" w:type="dxa"/>
          </w:tcPr>
          <w:p w14:paraId="43410B72" w14:textId="77777777" w:rsidR="004A2F87" w:rsidRDefault="004A2F87" w:rsidP="00781494">
            <w:r>
              <w:t>Sprint Nextel</w:t>
            </w:r>
          </w:p>
        </w:tc>
      </w:tr>
      <w:tr w:rsidR="004A2F87" w14:paraId="457EE941" w14:textId="77777777">
        <w:tblPrEx>
          <w:tblCellMar>
            <w:top w:w="0" w:type="dxa"/>
            <w:bottom w:w="0" w:type="dxa"/>
          </w:tblCellMar>
        </w:tblPrEx>
        <w:trPr>
          <w:gridAfter w:val="1"/>
          <w:wAfter w:w="12" w:type="dxa"/>
          <w:trHeight w:val="319"/>
        </w:trPr>
        <w:tc>
          <w:tcPr>
            <w:tcW w:w="1758" w:type="dxa"/>
          </w:tcPr>
          <w:p w14:paraId="6D8A31D4" w14:textId="77777777" w:rsidR="004A2F87" w:rsidRPr="004A2F87" w:rsidRDefault="004A2F87" w:rsidP="00781494">
            <w:pPr>
              <w:autoSpaceDE w:val="0"/>
              <w:autoSpaceDN w:val="0"/>
              <w:adjustRightInd w:val="0"/>
              <w:spacing w:line="240" w:lineRule="atLeast"/>
              <w:rPr>
                <w:color w:val="000000"/>
              </w:rPr>
            </w:pPr>
            <w:r w:rsidRPr="004A2F87">
              <w:rPr>
                <w:color w:val="000000"/>
              </w:rPr>
              <w:t xml:space="preserve">Margo Zeidner </w:t>
            </w:r>
          </w:p>
        </w:tc>
        <w:tc>
          <w:tcPr>
            <w:tcW w:w="2590" w:type="dxa"/>
          </w:tcPr>
          <w:p w14:paraId="69A67B83" w14:textId="77777777" w:rsidR="004A2F87" w:rsidRDefault="004A2F87" w:rsidP="00781494">
            <w:r>
              <w:t>ATIS</w:t>
            </w:r>
          </w:p>
        </w:tc>
        <w:tc>
          <w:tcPr>
            <w:tcW w:w="2590" w:type="dxa"/>
            <w:gridSpan w:val="2"/>
          </w:tcPr>
          <w:p w14:paraId="32DD4734" w14:textId="77777777" w:rsidR="004A2F87" w:rsidRDefault="004A2F87" w:rsidP="00781494">
            <w:r>
              <w:t>Ken Havens</w:t>
            </w:r>
          </w:p>
        </w:tc>
        <w:tc>
          <w:tcPr>
            <w:tcW w:w="2590" w:type="dxa"/>
          </w:tcPr>
          <w:p w14:paraId="6E015DF8" w14:textId="77777777" w:rsidR="004A2F87" w:rsidRDefault="004A2F87" w:rsidP="00781494">
            <w:r>
              <w:t>Sprint Nextel</w:t>
            </w:r>
          </w:p>
        </w:tc>
      </w:tr>
      <w:tr w:rsidR="004A2F87" w14:paraId="3950D445" w14:textId="77777777">
        <w:tblPrEx>
          <w:tblCellMar>
            <w:top w:w="0" w:type="dxa"/>
            <w:bottom w:w="0" w:type="dxa"/>
          </w:tblCellMar>
        </w:tblPrEx>
        <w:trPr>
          <w:gridAfter w:val="1"/>
          <w:wAfter w:w="12" w:type="dxa"/>
          <w:trHeight w:val="319"/>
        </w:trPr>
        <w:tc>
          <w:tcPr>
            <w:tcW w:w="1758" w:type="dxa"/>
          </w:tcPr>
          <w:p w14:paraId="30C74DB0" w14:textId="77777777" w:rsidR="004A2F87" w:rsidRDefault="004A2F87" w:rsidP="00781494">
            <w:pPr>
              <w:tabs>
                <w:tab w:val="right" w:pos="2116"/>
              </w:tabs>
            </w:pPr>
            <w:r w:rsidRPr="004A2F87">
              <w:rPr>
                <w:color w:val="000000"/>
              </w:rPr>
              <w:t>Catrina Akers</w:t>
            </w:r>
          </w:p>
        </w:tc>
        <w:tc>
          <w:tcPr>
            <w:tcW w:w="2590" w:type="dxa"/>
          </w:tcPr>
          <w:p w14:paraId="68FC2211" w14:textId="77777777" w:rsidR="004A2F87" w:rsidRDefault="004A2F87" w:rsidP="00781494">
            <w:r>
              <w:t>ATIS</w:t>
            </w:r>
          </w:p>
        </w:tc>
        <w:tc>
          <w:tcPr>
            <w:tcW w:w="2590" w:type="dxa"/>
            <w:gridSpan w:val="2"/>
          </w:tcPr>
          <w:p w14:paraId="2BB3CACE" w14:textId="77777777" w:rsidR="004A2F87" w:rsidRDefault="004A2F87" w:rsidP="00781494">
            <w:pPr>
              <w:tabs>
                <w:tab w:val="right" w:pos="2116"/>
              </w:tabs>
            </w:pPr>
            <w:r>
              <w:t>Adam Newman</w:t>
            </w:r>
          </w:p>
        </w:tc>
        <w:tc>
          <w:tcPr>
            <w:tcW w:w="2590" w:type="dxa"/>
          </w:tcPr>
          <w:p w14:paraId="2B781881" w14:textId="77777777" w:rsidR="004A2F87" w:rsidRDefault="004A2F87" w:rsidP="00781494">
            <w:r>
              <w:t>Telcordia</w:t>
            </w:r>
          </w:p>
        </w:tc>
      </w:tr>
      <w:tr w:rsidR="004A2F87" w14:paraId="3507D88D" w14:textId="77777777">
        <w:tblPrEx>
          <w:tblCellMar>
            <w:top w:w="0" w:type="dxa"/>
            <w:bottom w:w="0" w:type="dxa"/>
          </w:tblCellMar>
        </w:tblPrEx>
        <w:trPr>
          <w:gridAfter w:val="1"/>
          <w:wAfter w:w="12" w:type="dxa"/>
          <w:trHeight w:val="319"/>
        </w:trPr>
        <w:tc>
          <w:tcPr>
            <w:tcW w:w="1758" w:type="dxa"/>
          </w:tcPr>
          <w:p w14:paraId="6CEC38E0" w14:textId="77777777" w:rsidR="004A2F87" w:rsidRDefault="004A2F87" w:rsidP="00781494">
            <w:r>
              <w:t>Mark Lancaster</w:t>
            </w:r>
          </w:p>
        </w:tc>
        <w:tc>
          <w:tcPr>
            <w:tcW w:w="2590" w:type="dxa"/>
          </w:tcPr>
          <w:p w14:paraId="3D4ED319" w14:textId="77777777" w:rsidR="004A2F87" w:rsidRDefault="004A2F87" w:rsidP="00781494">
            <w:r>
              <w:t>at&amp;t</w:t>
            </w:r>
          </w:p>
        </w:tc>
        <w:tc>
          <w:tcPr>
            <w:tcW w:w="2590" w:type="dxa"/>
            <w:gridSpan w:val="2"/>
          </w:tcPr>
          <w:p w14:paraId="14054B50" w14:textId="77777777" w:rsidR="004A2F87" w:rsidRPr="004A2F87" w:rsidRDefault="004A2F87" w:rsidP="004A2F87">
            <w:pPr>
              <w:autoSpaceDE w:val="0"/>
              <w:autoSpaceDN w:val="0"/>
              <w:adjustRightInd w:val="0"/>
              <w:spacing w:line="240" w:lineRule="atLeast"/>
              <w:rPr>
                <w:color w:val="000000"/>
              </w:rPr>
            </w:pPr>
            <w:r w:rsidRPr="004A2F87">
              <w:rPr>
                <w:color w:val="000000"/>
              </w:rPr>
              <w:t>Nicole Contillo</w:t>
            </w:r>
          </w:p>
        </w:tc>
        <w:tc>
          <w:tcPr>
            <w:tcW w:w="2590" w:type="dxa"/>
          </w:tcPr>
          <w:p w14:paraId="2A26FEC0" w14:textId="77777777" w:rsidR="004A2F87" w:rsidRDefault="004A2F87" w:rsidP="00781494">
            <w:r>
              <w:t>T-Mobile</w:t>
            </w:r>
          </w:p>
        </w:tc>
      </w:tr>
      <w:tr w:rsidR="004A2F87" w14:paraId="7066EC13" w14:textId="77777777">
        <w:tblPrEx>
          <w:tblCellMar>
            <w:top w:w="0" w:type="dxa"/>
            <w:bottom w:w="0" w:type="dxa"/>
          </w:tblCellMar>
        </w:tblPrEx>
        <w:trPr>
          <w:gridAfter w:val="1"/>
          <w:wAfter w:w="12" w:type="dxa"/>
          <w:trHeight w:val="319"/>
        </w:trPr>
        <w:tc>
          <w:tcPr>
            <w:tcW w:w="1758" w:type="dxa"/>
          </w:tcPr>
          <w:p w14:paraId="090B7A09" w14:textId="77777777" w:rsidR="004A2F87" w:rsidRPr="004A2F87" w:rsidRDefault="004A2F87" w:rsidP="004A2F87">
            <w:pPr>
              <w:autoSpaceDE w:val="0"/>
              <w:autoSpaceDN w:val="0"/>
              <w:adjustRightInd w:val="0"/>
              <w:spacing w:line="240" w:lineRule="atLeast"/>
              <w:rPr>
                <w:color w:val="000000"/>
              </w:rPr>
            </w:pPr>
            <w:r>
              <w:rPr>
                <w:color w:val="000000"/>
              </w:rPr>
              <w:t>Bill Shaughnessy</w:t>
            </w:r>
          </w:p>
        </w:tc>
        <w:tc>
          <w:tcPr>
            <w:tcW w:w="2590" w:type="dxa"/>
          </w:tcPr>
          <w:p w14:paraId="18555276" w14:textId="77777777" w:rsidR="004A2F87" w:rsidRDefault="004A2F87" w:rsidP="00781494">
            <w:r>
              <w:t>BellSouth</w:t>
            </w:r>
          </w:p>
        </w:tc>
        <w:tc>
          <w:tcPr>
            <w:tcW w:w="2590" w:type="dxa"/>
            <w:gridSpan w:val="2"/>
          </w:tcPr>
          <w:p w14:paraId="1C492C45" w14:textId="77777777" w:rsidR="004A2F87" w:rsidRPr="004A2F87" w:rsidRDefault="004A2F87" w:rsidP="004A2F87">
            <w:pPr>
              <w:autoSpaceDE w:val="0"/>
              <w:autoSpaceDN w:val="0"/>
              <w:adjustRightInd w:val="0"/>
              <w:spacing w:line="240" w:lineRule="atLeast"/>
              <w:rPr>
                <w:color w:val="000000"/>
                <w:lang w:val="de-DE"/>
              </w:rPr>
            </w:pPr>
            <w:r w:rsidRPr="004A2F87">
              <w:rPr>
                <w:color w:val="000000"/>
                <w:lang w:val="de-DE"/>
              </w:rPr>
              <w:t>Natalie McNamer</w:t>
            </w:r>
          </w:p>
        </w:tc>
        <w:tc>
          <w:tcPr>
            <w:tcW w:w="2590" w:type="dxa"/>
          </w:tcPr>
          <w:p w14:paraId="3E341DC5" w14:textId="77777777" w:rsidR="004A2F87" w:rsidRDefault="004A2F87" w:rsidP="00781494">
            <w:r>
              <w:t>T-Mobile</w:t>
            </w:r>
          </w:p>
        </w:tc>
      </w:tr>
      <w:tr w:rsidR="004A2F87" w14:paraId="3CDC9BFB" w14:textId="77777777">
        <w:tblPrEx>
          <w:tblCellMar>
            <w:top w:w="0" w:type="dxa"/>
            <w:bottom w:w="0" w:type="dxa"/>
          </w:tblCellMar>
        </w:tblPrEx>
        <w:trPr>
          <w:gridAfter w:val="1"/>
          <w:wAfter w:w="12" w:type="dxa"/>
          <w:trHeight w:val="319"/>
        </w:trPr>
        <w:tc>
          <w:tcPr>
            <w:tcW w:w="1758" w:type="dxa"/>
          </w:tcPr>
          <w:p w14:paraId="377B891E" w14:textId="77777777" w:rsidR="004A2F87" w:rsidRPr="004A2F87" w:rsidRDefault="004A2F87" w:rsidP="004A2F87">
            <w:pPr>
              <w:autoSpaceDE w:val="0"/>
              <w:autoSpaceDN w:val="0"/>
              <w:adjustRightInd w:val="0"/>
              <w:spacing w:line="240" w:lineRule="atLeast"/>
              <w:rPr>
                <w:color w:val="000000"/>
              </w:rPr>
            </w:pPr>
            <w:r w:rsidRPr="004A2F87">
              <w:rPr>
                <w:color w:val="000000"/>
              </w:rPr>
              <w:t>Dena Hunter</w:t>
            </w:r>
          </w:p>
        </w:tc>
        <w:tc>
          <w:tcPr>
            <w:tcW w:w="2590" w:type="dxa"/>
          </w:tcPr>
          <w:p w14:paraId="19481340" w14:textId="77777777" w:rsidR="004A2F87" w:rsidRDefault="004A2F87" w:rsidP="00781494">
            <w:r>
              <w:t>Level 3</w:t>
            </w:r>
          </w:p>
        </w:tc>
        <w:tc>
          <w:tcPr>
            <w:tcW w:w="2590" w:type="dxa"/>
            <w:gridSpan w:val="2"/>
          </w:tcPr>
          <w:p w14:paraId="7D173F6F" w14:textId="77777777" w:rsidR="004A2F87" w:rsidRDefault="004A2F87" w:rsidP="00781494">
            <w:r>
              <w:t>Robin Smith</w:t>
            </w:r>
          </w:p>
        </w:tc>
        <w:tc>
          <w:tcPr>
            <w:tcW w:w="2590" w:type="dxa"/>
          </w:tcPr>
          <w:p w14:paraId="7FE98692" w14:textId="77777777" w:rsidR="004A2F87" w:rsidRDefault="004A2F87" w:rsidP="00781494">
            <w:r>
              <w:t>Verizon</w:t>
            </w:r>
          </w:p>
        </w:tc>
      </w:tr>
      <w:tr w:rsidR="004A2F87" w14:paraId="636B5F04" w14:textId="77777777">
        <w:tblPrEx>
          <w:tblCellMar>
            <w:top w:w="0" w:type="dxa"/>
            <w:bottom w:w="0" w:type="dxa"/>
          </w:tblCellMar>
        </w:tblPrEx>
        <w:trPr>
          <w:gridAfter w:val="1"/>
          <w:wAfter w:w="12" w:type="dxa"/>
          <w:trHeight w:val="319"/>
        </w:trPr>
        <w:tc>
          <w:tcPr>
            <w:tcW w:w="1758" w:type="dxa"/>
          </w:tcPr>
          <w:p w14:paraId="7658B948" w14:textId="77777777" w:rsidR="004A2F87" w:rsidRPr="004A2F87" w:rsidRDefault="004A2F87" w:rsidP="004A2F87">
            <w:pPr>
              <w:autoSpaceDE w:val="0"/>
              <w:autoSpaceDN w:val="0"/>
              <w:adjustRightInd w:val="0"/>
              <w:spacing w:line="240" w:lineRule="atLeast"/>
              <w:rPr>
                <w:color w:val="000000"/>
              </w:rPr>
            </w:pPr>
            <w:r w:rsidRPr="004A2F87">
              <w:rPr>
                <w:color w:val="000000"/>
              </w:rPr>
              <w:t>Shannon Sveigny</w:t>
            </w:r>
          </w:p>
        </w:tc>
        <w:tc>
          <w:tcPr>
            <w:tcW w:w="2590" w:type="dxa"/>
          </w:tcPr>
          <w:p w14:paraId="44C8FBD6" w14:textId="77777777" w:rsidR="004A2F87" w:rsidRDefault="004A2F87" w:rsidP="00781494">
            <w:r>
              <w:t>NeuStar Pooling</w:t>
            </w:r>
          </w:p>
        </w:tc>
        <w:tc>
          <w:tcPr>
            <w:tcW w:w="2590" w:type="dxa"/>
            <w:gridSpan w:val="2"/>
          </w:tcPr>
          <w:p w14:paraId="6D72242B" w14:textId="77777777" w:rsidR="004A2F87" w:rsidRDefault="004A2F87" w:rsidP="00781494">
            <w:r>
              <w:t>Jim Castagna</w:t>
            </w:r>
          </w:p>
        </w:tc>
        <w:tc>
          <w:tcPr>
            <w:tcW w:w="2590" w:type="dxa"/>
          </w:tcPr>
          <w:p w14:paraId="4EE2873F" w14:textId="77777777" w:rsidR="004A2F87" w:rsidRDefault="004A2F87" w:rsidP="00781494">
            <w:r>
              <w:t>Verizon</w:t>
            </w:r>
          </w:p>
        </w:tc>
      </w:tr>
      <w:tr w:rsidR="004A2F87" w14:paraId="4AA35299" w14:textId="77777777">
        <w:tblPrEx>
          <w:tblCellMar>
            <w:top w:w="0" w:type="dxa"/>
            <w:bottom w:w="0" w:type="dxa"/>
          </w:tblCellMar>
        </w:tblPrEx>
        <w:trPr>
          <w:gridAfter w:val="1"/>
          <w:wAfter w:w="12" w:type="dxa"/>
          <w:trHeight w:val="319"/>
        </w:trPr>
        <w:tc>
          <w:tcPr>
            <w:tcW w:w="1758" w:type="dxa"/>
          </w:tcPr>
          <w:p w14:paraId="29290235" w14:textId="77777777" w:rsidR="004A2F87" w:rsidRDefault="004A2F87" w:rsidP="00781494">
            <w:r>
              <w:t>Dara Sodano</w:t>
            </w:r>
          </w:p>
        </w:tc>
        <w:tc>
          <w:tcPr>
            <w:tcW w:w="2590" w:type="dxa"/>
          </w:tcPr>
          <w:p w14:paraId="2546785B" w14:textId="77777777" w:rsidR="004A2F87" w:rsidRDefault="004A2F87" w:rsidP="00781494">
            <w:r>
              <w:t>NeuStar Pooling</w:t>
            </w:r>
          </w:p>
        </w:tc>
        <w:tc>
          <w:tcPr>
            <w:tcW w:w="2590" w:type="dxa"/>
            <w:gridSpan w:val="2"/>
          </w:tcPr>
          <w:p w14:paraId="1B841161" w14:textId="77777777" w:rsidR="004A2F87" w:rsidRDefault="004A2F87" w:rsidP="00781494">
            <w:r>
              <w:t>Dana Smith</w:t>
            </w:r>
          </w:p>
        </w:tc>
        <w:tc>
          <w:tcPr>
            <w:tcW w:w="2590" w:type="dxa"/>
          </w:tcPr>
          <w:p w14:paraId="349B734E" w14:textId="77777777" w:rsidR="004A2F87" w:rsidRDefault="004A2F87" w:rsidP="00781494">
            <w:r>
              <w:t>Verizon Wireless</w:t>
            </w:r>
          </w:p>
        </w:tc>
      </w:tr>
      <w:tr w:rsidR="004A2F87" w14:paraId="5F581EE3" w14:textId="77777777">
        <w:tblPrEx>
          <w:tblCellMar>
            <w:top w:w="0" w:type="dxa"/>
            <w:bottom w:w="0" w:type="dxa"/>
          </w:tblCellMar>
        </w:tblPrEx>
        <w:trPr>
          <w:gridAfter w:val="1"/>
          <w:wAfter w:w="12" w:type="dxa"/>
          <w:trHeight w:val="319"/>
        </w:trPr>
        <w:tc>
          <w:tcPr>
            <w:tcW w:w="1758" w:type="dxa"/>
          </w:tcPr>
          <w:p w14:paraId="76A49A8F" w14:textId="77777777" w:rsidR="004A2F87" w:rsidRDefault="004A2F87" w:rsidP="00781494">
            <w:r>
              <w:t>Dave Garner</w:t>
            </w:r>
          </w:p>
        </w:tc>
        <w:tc>
          <w:tcPr>
            <w:tcW w:w="2590" w:type="dxa"/>
          </w:tcPr>
          <w:p w14:paraId="23CA5E21" w14:textId="77777777" w:rsidR="004A2F87" w:rsidRDefault="004A2F87" w:rsidP="00781494">
            <w:r>
              <w:t>NeuStar</w:t>
            </w:r>
          </w:p>
        </w:tc>
        <w:tc>
          <w:tcPr>
            <w:tcW w:w="2590" w:type="dxa"/>
            <w:gridSpan w:val="2"/>
          </w:tcPr>
          <w:p w14:paraId="2589ED55" w14:textId="77777777" w:rsidR="004A2F87" w:rsidRDefault="004A2F87" w:rsidP="00781494"/>
        </w:tc>
        <w:tc>
          <w:tcPr>
            <w:tcW w:w="2590" w:type="dxa"/>
          </w:tcPr>
          <w:p w14:paraId="3762AB73" w14:textId="77777777" w:rsidR="004A2F87" w:rsidRDefault="004A2F87" w:rsidP="00781494"/>
        </w:tc>
      </w:tr>
      <w:tr w:rsidR="004A2F87" w14:paraId="4634E869" w14:textId="77777777">
        <w:tblPrEx>
          <w:tblCellMar>
            <w:top w:w="0" w:type="dxa"/>
            <w:bottom w:w="0" w:type="dxa"/>
          </w:tblCellMar>
        </w:tblPrEx>
        <w:trPr>
          <w:gridAfter w:val="1"/>
          <w:wAfter w:w="12" w:type="dxa"/>
          <w:trHeight w:val="319"/>
        </w:trPr>
        <w:tc>
          <w:tcPr>
            <w:tcW w:w="1758" w:type="dxa"/>
          </w:tcPr>
          <w:p w14:paraId="52A5C893" w14:textId="77777777" w:rsidR="004A2F87" w:rsidRDefault="004A2F87" w:rsidP="00781494"/>
        </w:tc>
        <w:tc>
          <w:tcPr>
            <w:tcW w:w="2590" w:type="dxa"/>
          </w:tcPr>
          <w:p w14:paraId="3D0C8EA3" w14:textId="77777777" w:rsidR="004A2F87" w:rsidRDefault="004A2F87" w:rsidP="00781494"/>
        </w:tc>
        <w:tc>
          <w:tcPr>
            <w:tcW w:w="2590" w:type="dxa"/>
            <w:gridSpan w:val="2"/>
          </w:tcPr>
          <w:p w14:paraId="25C8D7E3" w14:textId="77777777" w:rsidR="004A2F87" w:rsidRDefault="004A2F87" w:rsidP="00781494"/>
        </w:tc>
        <w:tc>
          <w:tcPr>
            <w:tcW w:w="2590" w:type="dxa"/>
          </w:tcPr>
          <w:p w14:paraId="250EDCAF" w14:textId="77777777" w:rsidR="004A2F87" w:rsidRDefault="004A2F87" w:rsidP="00781494"/>
        </w:tc>
      </w:tr>
    </w:tbl>
    <w:p w14:paraId="76C4DEE1" w14:textId="77777777" w:rsidR="004A2F87" w:rsidRPr="00DF4DF8" w:rsidRDefault="004A2F87">
      <w:pPr>
        <w:rPr>
          <w:sz w:val="24"/>
          <w:szCs w:val="24"/>
        </w:rPr>
      </w:pPr>
    </w:p>
    <w:p w14:paraId="79A75CAA" w14:textId="77777777" w:rsidR="001A606D" w:rsidRDefault="001A606D">
      <w:pPr>
        <w:rPr>
          <w:sz w:val="24"/>
        </w:rPr>
      </w:pPr>
      <w:r>
        <w:rPr>
          <w:sz w:val="24"/>
        </w:rPr>
        <w:t xml:space="preserve">Attached are the Action </w:t>
      </w:r>
      <w:r w:rsidR="006D7AF0">
        <w:rPr>
          <w:sz w:val="24"/>
        </w:rPr>
        <w:t>Items assigned on the June</w:t>
      </w:r>
      <w:r w:rsidR="00FA4964">
        <w:rPr>
          <w:sz w:val="24"/>
        </w:rPr>
        <w:t xml:space="preserve"> 2006</w:t>
      </w:r>
      <w:r w:rsidR="00E223A7">
        <w:rPr>
          <w:sz w:val="24"/>
        </w:rPr>
        <w:t xml:space="preserve"> LNPA WG conference call.  Please note that these Action Items are in addition </w:t>
      </w:r>
      <w:r w:rsidR="006D7AF0">
        <w:rPr>
          <w:sz w:val="24"/>
        </w:rPr>
        <w:t>to the ones assigned at the May</w:t>
      </w:r>
      <w:r w:rsidR="00E223A7">
        <w:rPr>
          <w:sz w:val="24"/>
        </w:rPr>
        <w:t xml:space="preserve"> 2006 LNPA WG meeting.  Both sets of Action It</w:t>
      </w:r>
      <w:r w:rsidR="006D7AF0">
        <w:rPr>
          <w:sz w:val="24"/>
        </w:rPr>
        <w:t>ems will be addressed at the July</w:t>
      </w:r>
      <w:r w:rsidR="00E223A7">
        <w:rPr>
          <w:sz w:val="24"/>
        </w:rPr>
        <w:t xml:space="preserve"> 2006 meeting.</w:t>
      </w:r>
    </w:p>
    <w:p w14:paraId="249ADA93" w14:textId="77777777" w:rsidR="001A606D" w:rsidRDefault="001A606D">
      <w:pPr>
        <w:rPr>
          <w:sz w:val="24"/>
        </w:rPr>
      </w:pPr>
    </w:p>
    <w:bookmarkStart w:id="0" w:name="_MON_1212314104"/>
    <w:bookmarkEnd w:id="0"/>
    <w:p w14:paraId="63BFF3C5" w14:textId="77777777" w:rsidR="001A606D" w:rsidRDefault="006D7AF0">
      <w:pPr>
        <w:rPr>
          <w:b/>
          <w:sz w:val="24"/>
        </w:rPr>
      </w:pPr>
      <w:r w:rsidRPr="006D7AF0">
        <w:rPr>
          <w:b/>
          <w:sz w:val="24"/>
        </w:rPr>
        <w:object w:dxaOrig="1535" w:dyaOrig="991" w14:anchorId="6C15F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816747" r:id="rId8">
            <o:FieldCodes>\s</o:FieldCodes>
          </o:OLEObject>
        </w:object>
      </w:r>
    </w:p>
    <w:p w14:paraId="55F7B983" w14:textId="77777777" w:rsidR="001A606D" w:rsidRDefault="001A606D">
      <w:pPr>
        <w:rPr>
          <w:b/>
          <w:sz w:val="24"/>
          <w:u w:val="single"/>
        </w:rPr>
      </w:pPr>
    </w:p>
    <w:p w14:paraId="1B94B47A"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233582">
        <w:t>HE “JUNE</w:t>
      </w:r>
      <w:r w:rsidR="00FA4964">
        <w:t xml:space="preserve"> 2006</w:t>
      </w:r>
      <w:r>
        <w:t xml:space="preserve"> LNPA ACTION ITEMS” FILE ATTACHED ABOVE.</w:t>
      </w:r>
    </w:p>
    <w:p w14:paraId="32DC76A6" w14:textId="77777777" w:rsidR="001A606D" w:rsidRDefault="001A606D">
      <w:pPr>
        <w:rPr>
          <w:b/>
          <w:sz w:val="24"/>
        </w:rPr>
      </w:pPr>
    </w:p>
    <w:p w14:paraId="4EC09F56" w14:textId="77777777" w:rsidR="001A606D" w:rsidRDefault="00E223A7">
      <w:pPr>
        <w:rPr>
          <w:b/>
          <w:sz w:val="24"/>
        </w:rPr>
      </w:pPr>
      <w:r>
        <w:rPr>
          <w:b/>
          <w:sz w:val="24"/>
          <w:u w:val="single"/>
        </w:rPr>
        <w:t>CONFERENCE CALL</w:t>
      </w:r>
      <w:r w:rsidR="001A606D">
        <w:rPr>
          <w:b/>
          <w:sz w:val="24"/>
          <w:u w:val="single"/>
        </w:rPr>
        <w:t xml:space="preserve"> MINUTES:</w:t>
      </w:r>
    </w:p>
    <w:p w14:paraId="4EAD88B3" w14:textId="77777777" w:rsidR="001A606D" w:rsidRDefault="001A606D">
      <w:pPr>
        <w:rPr>
          <w:sz w:val="24"/>
          <w:u w:val="single"/>
        </w:rPr>
      </w:pPr>
    </w:p>
    <w:p w14:paraId="7262086D" w14:textId="77777777" w:rsidR="00874260" w:rsidRDefault="00874260" w:rsidP="00874260">
      <w:pPr>
        <w:rPr>
          <w:sz w:val="24"/>
        </w:rPr>
      </w:pPr>
      <w:r>
        <w:rPr>
          <w:sz w:val="24"/>
          <w:u w:val="single"/>
        </w:rPr>
        <w:t>2006 Meeting Schedule:</w:t>
      </w:r>
    </w:p>
    <w:p w14:paraId="35EA2FCA" w14:textId="77777777" w:rsidR="00874260" w:rsidRDefault="00874260" w:rsidP="00874260">
      <w:pPr>
        <w:rPr>
          <w:sz w:val="24"/>
        </w:rPr>
      </w:pPr>
    </w:p>
    <w:p w14:paraId="74382B53" w14:textId="77777777" w:rsidR="00874260" w:rsidRDefault="00874260" w:rsidP="00874260">
      <w:pPr>
        <w:rPr>
          <w:sz w:val="24"/>
        </w:rPr>
      </w:pPr>
      <w:r>
        <w:rPr>
          <w:sz w:val="24"/>
        </w:rPr>
        <w:t>Following is the meeting schedule for the 2006 LNPA Meetings.</w:t>
      </w:r>
    </w:p>
    <w:p w14:paraId="29E31247" w14:textId="77777777" w:rsidR="00874260" w:rsidRDefault="00874260" w:rsidP="008742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67"/>
        <w:gridCol w:w="3040"/>
        <w:gridCol w:w="1561"/>
        <w:gridCol w:w="1719"/>
      </w:tblGrid>
      <w:tr w:rsidR="00874260" w14:paraId="02B5909F" w14:textId="77777777">
        <w:tblPrEx>
          <w:tblCellMar>
            <w:top w:w="0" w:type="dxa"/>
            <w:bottom w:w="0" w:type="dxa"/>
          </w:tblCellMar>
        </w:tblPrEx>
        <w:tc>
          <w:tcPr>
            <w:tcW w:w="0" w:type="auto"/>
          </w:tcPr>
          <w:p w14:paraId="074102D7" w14:textId="77777777" w:rsidR="00874260" w:rsidRDefault="00874260" w:rsidP="0031001C">
            <w:pPr>
              <w:jc w:val="center"/>
              <w:rPr>
                <w:b/>
                <w:sz w:val="24"/>
              </w:rPr>
            </w:pPr>
            <w:r>
              <w:rPr>
                <w:b/>
                <w:sz w:val="24"/>
              </w:rPr>
              <w:t>MONTH/</w:t>
            </w:r>
          </w:p>
          <w:p w14:paraId="6416ABCC" w14:textId="77777777" w:rsidR="00874260" w:rsidRDefault="00874260" w:rsidP="0031001C">
            <w:pPr>
              <w:jc w:val="center"/>
              <w:rPr>
                <w:b/>
                <w:sz w:val="24"/>
              </w:rPr>
            </w:pPr>
            <w:r>
              <w:rPr>
                <w:b/>
                <w:sz w:val="24"/>
              </w:rPr>
              <w:t>DATE</w:t>
            </w:r>
          </w:p>
          <w:p w14:paraId="54C9AC11" w14:textId="77777777" w:rsidR="00874260" w:rsidRDefault="00874260" w:rsidP="0031001C">
            <w:pPr>
              <w:jc w:val="center"/>
              <w:rPr>
                <w:sz w:val="24"/>
              </w:rPr>
            </w:pPr>
            <w:r>
              <w:rPr>
                <w:b/>
                <w:sz w:val="24"/>
              </w:rPr>
              <w:t>(2006)</w:t>
            </w:r>
          </w:p>
        </w:tc>
        <w:tc>
          <w:tcPr>
            <w:tcW w:w="0" w:type="auto"/>
          </w:tcPr>
          <w:p w14:paraId="57DAE4C9" w14:textId="77777777" w:rsidR="00874260" w:rsidRDefault="00874260" w:rsidP="0031001C">
            <w:pPr>
              <w:pStyle w:val="Heading7"/>
              <w:jc w:val="center"/>
            </w:pPr>
            <w:r>
              <w:t>NANC</w:t>
            </w:r>
          </w:p>
        </w:tc>
        <w:tc>
          <w:tcPr>
            <w:tcW w:w="0" w:type="auto"/>
          </w:tcPr>
          <w:p w14:paraId="0387E058" w14:textId="77777777" w:rsidR="00874260" w:rsidRDefault="00874260" w:rsidP="0031001C">
            <w:pPr>
              <w:pStyle w:val="Heading7"/>
              <w:jc w:val="center"/>
            </w:pPr>
            <w:r>
              <w:t>LNPA-WG</w:t>
            </w:r>
          </w:p>
        </w:tc>
        <w:tc>
          <w:tcPr>
            <w:tcW w:w="0" w:type="auto"/>
          </w:tcPr>
          <w:p w14:paraId="0EB643F9" w14:textId="77777777" w:rsidR="00874260" w:rsidRDefault="00874260" w:rsidP="0031001C">
            <w:pPr>
              <w:pStyle w:val="Heading9"/>
            </w:pPr>
            <w:r>
              <w:t>HOST</w:t>
            </w:r>
          </w:p>
        </w:tc>
        <w:tc>
          <w:tcPr>
            <w:tcW w:w="0" w:type="auto"/>
          </w:tcPr>
          <w:p w14:paraId="015A5D2F" w14:textId="77777777" w:rsidR="00874260" w:rsidRDefault="00874260" w:rsidP="0031001C">
            <w:pPr>
              <w:pStyle w:val="Heading9"/>
            </w:pPr>
            <w:r>
              <w:t>LOCATION</w:t>
            </w:r>
          </w:p>
        </w:tc>
      </w:tr>
      <w:tr w:rsidR="00874260" w14:paraId="1893C347" w14:textId="77777777">
        <w:tblPrEx>
          <w:tblCellMar>
            <w:top w:w="0" w:type="dxa"/>
            <w:bottom w:w="0" w:type="dxa"/>
          </w:tblCellMar>
        </w:tblPrEx>
        <w:tc>
          <w:tcPr>
            <w:tcW w:w="0" w:type="auto"/>
          </w:tcPr>
          <w:p w14:paraId="0A79CE40" w14:textId="77777777" w:rsidR="00874260" w:rsidRDefault="00874260" w:rsidP="0031001C">
            <w:pPr>
              <w:rPr>
                <w:sz w:val="24"/>
              </w:rPr>
            </w:pPr>
          </w:p>
        </w:tc>
        <w:tc>
          <w:tcPr>
            <w:tcW w:w="0" w:type="auto"/>
          </w:tcPr>
          <w:p w14:paraId="7DEA2BD9" w14:textId="77777777" w:rsidR="00874260" w:rsidRDefault="00874260" w:rsidP="0031001C">
            <w:pPr>
              <w:rPr>
                <w:sz w:val="24"/>
              </w:rPr>
            </w:pPr>
          </w:p>
        </w:tc>
        <w:tc>
          <w:tcPr>
            <w:tcW w:w="0" w:type="auto"/>
          </w:tcPr>
          <w:p w14:paraId="1BA1170C" w14:textId="77777777" w:rsidR="00874260" w:rsidRDefault="00874260" w:rsidP="0031001C">
            <w:pPr>
              <w:rPr>
                <w:sz w:val="24"/>
              </w:rPr>
            </w:pPr>
          </w:p>
        </w:tc>
        <w:tc>
          <w:tcPr>
            <w:tcW w:w="0" w:type="auto"/>
          </w:tcPr>
          <w:p w14:paraId="0DFDE16F" w14:textId="77777777" w:rsidR="00874260" w:rsidRDefault="00874260" w:rsidP="0031001C">
            <w:pPr>
              <w:rPr>
                <w:sz w:val="24"/>
              </w:rPr>
            </w:pPr>
          </w:p>
        </w:tc>
        <w:tc>
          <w:tcPr>
            <w:tcW w:w="0" w:type="auto"/>
          </w:tcPr>
          <w:p w14:paraId="5FBE0A08" w14:textId="77777777" w:rsidR="00874260" w:rsidRDefault="00874260" w:rsidP="0031001C">
            <w:pPr>
              <w:rPr>
                <w:sz w:val="24"/>
              </w:rPr>
            </w:pPr>
          </w:p>
        </w:tc>
      </w:tr>
      <w:tr w:rsidR="00874260" w14:paraId="4CF7436C" w14:textId="77777777">
        <w:tblPrEx>
          <w:tblCellMar>
            <w:top w:w="0" w:type="dxa"/>
            <w:bottom w:w="0" w:type="dxa"/>
          </w:tblCellMar>
        </w:tblPrEx>
        <w:tc>
          <w:tcPr>
            <w:tcW w:w="0" w:type="auto"/>
          </w:tcPr>
          <w:p w14:paraId="77B7439F" w14:textId="77777777" w:rsidR="00874260" w:rsidRDefault="00874260" w:rsidP="0031001C">
            <w:pPr>
              <w:rPr>
                <w:sz w:val="24"/>
              </w:rPr>
            </w:pPr>
            <w:r>
              <w:rPr>
                <w:sz w:val="24"/>
              </w:rPr>
              <w:t xml:space="preserve">January </w:t>
            </w:r>
          </w:p>
        </w:tc>
        <w:tc>
          <w:tcPr>
            <w:tcW w:w="0" w:type="auto"/>
          </w:tcPr>
          <w:p w14:paraId="4CAA19E1" w14:textId="77777777" w:rsidR="00874260" w:rsidRDefault="00874260" w:rsidP="0031001C">
            <w:pPr>
              <w:rPr>
                <w:sz w:val="24"/>
              </w:rPr>
            </w:pPr>
            <w:r>
              <w:rPr>
                <w:sz w:val="24"/>
              </w:rPr>
              <w:t>24</w:t>
            </w:r>
            <w:r>
              <w:rPr>
                <w:sz w:val="24"/>
                <w:vertAlign w:val="superscript"/>
              </w:rPr>
              <w:t>th</w:t>
            </w:r>
          </w:p>
        </w:tc>
        <w:tc>
          <w:tcPr>
            <w:tcW w:w="0" w:type="auto"/>
          </w:tcPr>
          <w:p w14:paraId="34AFB4F7" w14:textId="77777777" w:rsidR="00874260" w:rsidRDefault="00874260" w:rsidP="0031001C">
            <w:pPr>
              <w:rPr>
                <w:sz w:val="24"/>
                <w:highlight w:val="yellow"/>
              </w:rPr>
            </w:pPr>
            <w:r>
              <w:rPr>
                <w:sz w:val="24"/>
                <w:highlight w:val="yellow"/>
              </w:rPr>
              <w:t>10</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53BE349B" w14:textId="77777777" w:rsidR="00874260" w:rsidRDefault="00874260" w:rsidP="0031001C">
            <w:pPr>
              <w:rPr>
                <w:sz w:val="24"/>
              </w:rPr>
            </w:pPr>
            <w:r>
              <w:rPr>
                <w:sz w:val="24"/>
              </w:rPr>
              <w:t>Syniverse</w:t>
            </w:r>
          </w:p>
        </w:tc>
        <w:tc>
          <w:tcPr>
            <w:tcW w:w="0" w:type="auto"/>
          </w:tcPr>
          <w:p w14:paraId="42F50616" w14:textId="77777777" w:rsidR="00874260" w:rsidRDefault="00874260" w:rsidP="0031001C">
            <w:pPr>
              <w:rPr>
                <w:sz w:val="24"/>
              </w:rPr>
            </w:pP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p>
        </w:tc>
      </w:tr>
      <w:tr w:rsidR="00874260" w14:paraId="4E2FDAB8" w14:textId="77777777">
        <w:tblPrEx>
          <w:tblCellMar>
            <w:top w:w="0" w:type="dxa"/>
            <w:bottom w:w="0" w:type="dxa"/>
          </w:tblCellMar>
        </w:tblPrEx>
        <w:tc>
          <w:tcPr>
            <w:tcW w:w="0" w:type="auto"/>
          </w:tcPr>
          <w:p w14:paraId="44E26060" w14:textId="77777777" w:rsidR="00874260" w:rsidRDefault="00874260" w:rsidP="0031001C">
            <w:pPr>
              <w:rPr>
                <w:sz w:val="24"/>
              </w:rPr>
            </w:pPr>
            <w:r>
              <w:rPr>
                <w:sz w:val="24"/>
              </w:rPr>
              <w:t xml:space="preserve">February </w:t>
            </w:r>
          </w:p>
        </w:tc>
        <w:tc>
          <w:tcPr>
            <w:tcW w:w="0" w:type="auto"/>
          </w:tcPr>
          <w:p w14:paraId="3B980A0F" w14:textId="77777777" w:rsidR="00874260" w:rsidRDefault="00874260" w:rsidP="0031001C">
            <w:pPr>
              <w:rPr>
                <w:sz w:val="24"/>
              </w:rPr>
            </w:pPr>
            <w:r>
              <w:rPr>
                <w:sz w:val="24"/>
              </w:rPr>
              <w:t>No meeting</w:t>
            </w:r>
          </w:p>
        </w:tc>
        <w:tc>
          <w:tcPr>
            <w:tcW w:w="0" w:type="auto"/>
          </w:tcPr>
          <w:p w14:paraId="52C6AA5B" w14:textId="77777777" w:rsidR="00874260" w:rsidRDefault="00874260" w:rsidP="0031001C">
            <w:pPr>
              <w:rPr>
                <w:sz w:val="24"/>
                <w:highlight w:val="yellow"/>
              </w:rPr>
            </w:pPr>
            <w:r>
              <w:rPr>
                <w:sz w:val="24"/>
                <w:highlight w:val="yellow"/>
              </w:rPr>
              <w:t>No meeting.</w:t>
            </w:r>
          </w:p>
          <w:p w14:paraId="2A8234C9" w14:textId="77777777" w:rsidR="00874260" w:rsidRDefault="00874260" w:rsidP="0031001C">
            <w:pPr>
              <w:rPr>
                <w:sz w:val="24"/>
                <w:highlight w:val="yellow"/>
              </w:rPr>
            </w:pPr>
            <w:smartTag w:uri="urn:schemas-microsoft-com:office:smarttags" w:element="date">
              <w:smartTagPr>
                <w:attr w:name="Month" w:val="2"/>
                <w:attr w:name="Day" w:val="8"/>
                <w:attr w:name="Year" w:val="2006"/>
              </w:smartTagPr>
              <w:r>
                <w:rPr>
                  <w:sz w:val="24"/>
                </w:rPr>
                <w:t>2/8/06</w:t>
              </w:r>
            </w:smartTag>
            <w:r w:rsidR="00FA4964">
              <w:rPr>
                <w:sz w:val="24"/>
              </w:rPr>
              <w:t xml:space="preserve"> call</w:t>
            </w:r>
            <w:r w:rsidR="004D5AEF">
              <w:rPr>
                <w:sz w:val="24"/>
              </w:rPr>
              <w:t xml:space="preserve"> from </w:t>
            </w:r>
            <w:smartTag w:uri="urn:schemas-microsoft-com:office:smarttags" w:element="time">
              <w:smartTagPr>
                <w:attr w:name="Hour" w:val="11"/>
                <w:attr w:name="Minute" w:val="0"/>
              </w:smartTagPr>
              <w:r w:rsidR="004D5AEF" w:rsidRPr="004D5AEF">
                <w:rPr>
                  <w:color w:val="000000"/>
                  <w:sz w:val="24"/>
                  <w:szCs w:val="24"/>
                </w:rPr>
                <w:t>11am</w:t>
              </w:r>
            </w:smartTag>
            <w:r w:rsidR="004D5AEF" w:rsidRPr="004D5AEF">
              <w:rPr>
                <w:color w:val="000000"/>
                <w:sz w:val="24"/>
                <w:szCs w:val="24"/>
              </w:rPr>
              <w:t xml:space="preserve"> to </w:t>
            </w:r>
            <w:smartTag w:uri="urn:schemas-microsoft-com:office:smarttags" w:element="time">
              <w:smartTagPr>
                <w:attr w:name="Hour" w:val="15"/>
                <w:attr w:name="Minute" w:val="0"/>
              </w:smartTagPr>
              <w:r w:rsidR="004D5AEF" w:rsidRPr="004D5AEF">
                <w:rPr>
                  <w:color w:val="000000"/>
                  <w:sz w:val="24"/>
                  <w:szCs w:val="24"/>
                </w:rPr>
                <w:t>3pm</w:t>
              </w:r>
            </w:smartTag>
            <w:r w:rsidR="004D5AEF">
              <w:rPr>
                <w:color w:val="000000"/>
                <w:sz w:val="24"/>
                <w:szCs w:val="24"/>
              </w:rPr>
              <w:t xml:space="preserve"> Eastern time, </w:t>
            </w:r>
            <w:r w:rsidR="004D5AEF" w:rsidRPr="004D5AEF">
              <w:rPr>
                <w:color w:val="000000"/>
                <w:sz w:val="24"/>
                <w:szCs w:val="24"/>
              </w:rPr>
              <w:t>dial-in bridge number is 888-412-7808, pin 23272#</w:t>
            </w:r>
          </w:p>
        </w:tc>
        <w:tc>
          <w:tcPr>
            <w:tcW w:w="0" w:type="auto"/>
          </w:tcPr>
          <w:p w14:paraId="602FC0AF" w14:textId="77777777" w:rsidR="00874260" w:rsidRDefault="00874260" w:rsidP="0031001C">
            <w:pPr>
              <w:rPr>
                <w:sz w:val="24"/>
              </w:rPr>
            </w:pPr>
          </w:p>
        </w:tc>
        <w:tc>
          <w:tcPr>
            <w:tcW w:w="0" w:type="auto"/>
          </w:tcPr>
          <w:p w14:paraId="22FFE639" w14:textId="77777777" w:rsidR="00874260" w:rsidRDefault="00874260" w:rsidP="0031001C">
            <w:pPr>
              <w:rPr>
                <w:sz w:val="24"/>
              </w:rPr>
            </w:pPr>
          </w:p>
        </w:tc>
      </w:tr>
      <w:tr w:rsidR="00874260" w14:paraId="7288C6CC" w14:textId="77777777">
        <w:tblPrEx>
          <w:tblCellMar>
            <w:top w:w="0" w:type="dxa"/>
            <w:bottom w:w="0" w:type="dxa"/>
          </w:tblCellMar>
        </w:tblPrEx>
        <w:tc>
          <w:tcPr>
            <w:tcW w:w="0" w:type="auto"/>
          </w:tcPr>
          <w:p w14:paraId="1CE69FA9" w14:textId="77777777" w:rsidR="00874260" w:rsidRDefault="00874260" w:rsidP="0031001C">
            <w:pPr>
              <w:rPr>
                <w:sz w:val="24"/>
              </w:rPr>
            </w:pPr>
            <w:r>
              <w:rPr>
                <w:sz w:val="24"/>
              </w:rPr>
              <w:t>March</w:t>
            </w:r>
          </w:p>
        </w:tc>
        <w:tc>
          <w:tcPr>
            <w:tcW w:w="0" w:type="auto"/>
          </w:tcPr>
          <w:p w14:paraId="5687CF90" w14:textId="77777777" w:rsidR="00874260" w:rsidRDefault="00874260" w:rsidP="0031001C">
            <w:pPr>
              <w:rPr>
                <w:sz w:val="24"/>
              </w:rPr>
            </w:pPr>
            <w:r>
              <w:rPr>
                <w:sz w:val="24"/>
              </w:rPr>
              <w:t>14</w:t>
            </w:r>
            <w:r>
              <w:rPr>
                <w:sz w:val="24"/>
                <w:vertAlign w:val="superscript"/>
              </w:rPr>
              <w:t>th</w:t>
            </w:r>
            <w:r>
              <w:rPr>
                <w:sz w:val="24"/>
              </w:rPr>
              <w:t xml:space="preserve"> </w:t>
            </w:r>
          </w:p>
        </w:tc>
        <w:tc>
          <w:tcPr>
            <w:tcW w:w="0" w:type="auto"/>
          </w:tcPr>
          <w:p w14:paraId="3332B7DB" w14:textId="77777777" w:rsidR="00874260" w:rsidRPr="001C1AD9" w:rsidRDefault="00874260" w:rsidP="0031001C">
            <w:pPr>
              <w:rPr>
                <w:sz w:val="24"/>
                <w:highlight w:val="yellow"/>
                <w:vertAlign w:val="superscript"/>
              </w:rPr>
            </w:pPr>
            <w:r>
              <w:rPr>
                <w:sz w:val="24"/>
                <w:highlight w:val="yellow"/>
              </w:rPr>
              <w:t>7</w:t>
            </w:r>
            <w:r w:rsidRPr="005C6210">
              <w:rPr>
                <w:sz w:val="24"/>
                <w:highlight w:val="yellow"/>
                <w:vertAlign w:val="superscript"/>
              </w:rPr>
              <w:t>th</w:t>
            </w:r>
            <w:r>
              <w:rPr>
                <w:sz w:val="24"/>
                <w:highlight w:val="yellow"/>
              </w:rPr>
              <w:t>-8</w:t>
            </w:r>
            <w:r>
              <w:rPr>
                <w:sz w:val="24"/>
                <w:highlight w:val="yellow"/>
                <w:vertAlign w:val="superscript"/>
              </w:rPr>
              <w:t>th</w:t>
            </w:r>
          </w:p>
        </w:tc>
        <w:tc>
          <w:tcPr>
            <w:tcW w:w="0" w:type="auto"/>
          </w:tcPr>
          <w:p w14:paraId="3BC41FA8" w14:textId="77777777" w:rsidR="00874260" w:rsidRDefault="00874260" w:rsidP="0031001C">
            <w:pPr>
              <w:rPr>
                <w:sz w:val="24"/>
              </w:rPr>
            </w:pPr>
            <w:r>
              <w:rPr>
                <w:sz w:val="24"/>
              </w:rPr>
              <w:t>NeuStar</w:t>
            </w:r>
          </w:p>
        </w:tc>
        <w:tc>
          <w:tcPr>
            <w:tcW w:w="0" w:type="auto"/>
          </w:tcPr>
          <w:p w14:paraId="6DFF345D" w14:textId="77777777" w:rsidR="00874260" w:rsidRPr="00FE75F1" w:rsidRDefault="001C1AD9" w:rsidP="0031001C">
            <w:pPr>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tc>
      </w:tr>
      <w:tr w:rsidR="00874260" w14:paraId="24C8C4D5" w14:textId="77777777">
        <w:tblPrEx>
          <w:tblCellMar>
            <w:top w:w="0" w:type="dxa"/>
            <w:bottom w:w="0" w:type="dxa"/>
          </w:tblCellMar>
        </w:tblPrEx>
        <w:tc>
          <w:tcPr>
            <w:tcW w:w="0" w:type="auto"/>
          </w:tcPr>
          <w:p w14:paraId="043F796C" w14:textId="77777777" w:rsidR="00874260" w:rsidRDefault="00874260" w:rsidP="0031001C">
            <w:pPr>
              <w:rPr>
                <w:sz w:val="24"/>
              </w:rPr>
            </w:pPr>
            <w:r>
              <w:rPr>
                <w:sz w:val="24"/>
              </w:rPr>
              <w:t>April</w:t>
            </w:r>
          </w:p>
        </w:tc>
        <w:tc>
          <w:tcPr>
            <w:tcW w:w="0" w:type="auto"/>
          </w:tcPr>
          <w:p w14:paraId="1221DAB6" w14:textId="77777777" w:rsidR="00874260" w:rsidRDefault="00874260" w:rsidP="0031001C">
            <w:pPr>
              <w:rPr>
                <w:sz w:val="24"/>
              </w:rPr>
            </w:pPr>
            <w:r>
              <w:rPr>
                <w:sz w:val="24"/>
              </w:rPr>
              <w:t>No meeting</w:t>
            </w:r>
          </w:p>
        </w:tc>
        <w:tc>
          <w:tcPr>
            <w:tcW w:w="0" w:type="auto"/>
          </w:tcPr>
          <w:p w14:paraId="37D02D9E" w14:textId="77777777" w:rsidR="00874260" w:rsidRDefault="00874260" w:rsidP="0031001C">
            <w:pPr>
              <w:rPr>
                <w:sz w:val="24"/>
                <w:highlight w:val="yellow"/>
              </w:rPr>
            </w:pPr>
            <w:r>
              <w:rPr>
                <w:sz w:val="24"/>
                <w:highlight w:val="yellow"/>
              </w:rPr>
              <w:t>No meeting.</w:t>
            </w:r>
          </w:p>
          <w:p w14:paraId="4872D466" w14:textId="77777777" w:rsidR="00874260" w:rsidRDefault="00874260" w:rsidP="0031001C">
            <w:pPr>
              <w:rPr>
                <w:sz w:val="24"/>
                <w:highlight w:val="yellow"/>
              </w:rPr>
            </w:pPr>
            <w:smartTag w:uri="urn:schemas-microsoft-com:office:smarttags" w:element="date">
              <w:smartTagPr>
                <w:attr w:name="Month" w:val="4"/>
                <w:attr w:name="Day" w:val="12"/>
                <w:attr w:name="Year" w:val="2006"/>
              </w:smartTagPr>
              <w:r>
                <w:rPr>
                  <w:sz w:val="24"/>
                </w:rPr>
                <w:t>4/12/06</w:t>
              </w:r>
            </w:smartTag>
            <w:r>
              <w:rPr>
                <w:sz w:val="24"/>
              </w:rPr>
              <w:t xml:space="preserve"> </w:t>
            </w:r>
            <w:r w:rsidR="0031790B">
              <w:rPr>
                <w:sz w:val="24"/>
              </w:rPr>
              <w:t xml:space="preserve">call from </w:t>
            </w:r>
            <w:smartTag w:uri="urn:schemas-microsoft-com:office:smarttags" w:element="time">
              <w:smartTagPr>
                <w:attr w:name="Hour" w:val="11"/>
                <w:attr w:name="Minute" w:val="0"/>
              </w:smartTagPr>
              <w:r w:rsidR="0031790B" w:rsidRPr="004D5AEF">
                <w:rPr>
                  <w:color w:val="000000"/>
                  <w:sz w:val="24"/>
                  <w:szCs w:val="24"/>
                </w:rPr>
                <w:t>11am</w:t>
              </w:r>
            </w:smartTag>
            <w:r w:rsidR="0031790B" w:rsidRPr="004D5AEF">
              <w:rPr>
                <w:color w:val="000000"/>
                <w:sz w:val="24"/>
                <w:szCs w:val="24"/>
              </w:rPr>
              <w:t xml:space="preserve"> to </w:t>
            </w:r>
            <w:smartTag w:uri="urn:schemas-microsoft-com:office:smarttags" w:element="time">
              <w:smartTagPr>
                <w:attr w:name="Hour" w:val="15"/>
                <w:attr w:name="Minute" w:val="0"/>
              </w:smartTagPr>
              <w:r w:rsidR="0031790B" w:rsidRPr="004D5AEF">
                <w:rPr>
                  <w:color w:val="000000"/>
                  <w:sz w:val="24"/>
                  <w:szCs w:val="24"/>
                </w:rPr>
                <w:t>3pm</w:t>
              </w:r>
            </w:smartTag>
            <w:r w:rsidR="0031790B">
              <w:rPr>
                <w:color w:val="000000"/>
                <w:sz w:val="24"/>
                <w:szCs w:val="24"/>
              </w:rPr>
              <w:t xml:space="preserve"> Eastern time, </w:t>
            </w:r>
            <w:r w:rsidR="0031790B" w:rsidRPr="004D5AEF">
              <w:rPr>
                <w:color w:val="000000"/>
                <w:sz w:val="24"/>
                <w:szCs w:val="24"/>
              </w:rPr>
              <w:t>dial-in bridge number is 888-412-7808, pin 23272#</w:t>
            </w:r>
          </w:p>
        </w:tc>
        <w:tc>
          <w:tcPr>
            <w:tcW w:w="0" w:type="auto"/>
          </w:tcPr>
          <w:p w14:paraId="784B2A43" w14:textId="77777777" w:rsidR="00874260" w:rsidRDefault="00874260" w:rsidP="0031001C">
            <w:pPr>
              <w:rPr>
                <w:sz w:val="24"/>
              </w:rPr>
            </w:pPr>
          </w:p>
        </w:tc>
        <w:tc>
          <w:tcPr>
            <w:tcW w:w="0" w:type="auto"/>
          </w:tcPr>
          <w:p w14:paraId="76A14B0A" w14:textId="77777777" w:rsidR="00874260" w:rsidRDefault="00874260" w:rsidP="0031001C">
            <w:pPr>
              <w:pStyle w:val="Heading7"/>
              <w:rPr>
                <w:b w:val="0"/>
              </w:rPr>
            </w:pPr>
          </w:p>
        </w:tc>
      </w:tr>
      <w:tr w:rsidR="00874260" w14:paraId="38D2444C" w14:textId="77777777">
        <w:tblPrEx>
          <w:tblCellMar>
            <w:top w:w="0" w:type="dxa"/>
            <w:bottom w:w="0" w:type="dxa"/>
          </w:tblCellMar>
        </w:tblPrEx>
        <w:tc>
          <w:tcPr>
            <w:tcW w:w="0" w:type="auto"/>
          </w:tcPr>
          <w:p w14:paraId="4533DF25" w14:textId="77777777" w:rsidR="00874260" w:rsidRDefault="00874260" w:rsidP="0031001C">
            <w:pPr>
              <w:rPr>
                <w:sz w:val="24"/>
              </w:rPr>
            </w:pPr>
            <w:r>
              <w:rPr>
                <w:sz w:val="24"/>
              </w:rPr>
              <w:t>May</w:t>
            </w:r>
          </w:p>
        </w:tc>
        <w:tc>
          <w:tcPr>
            <w:tcW w:w="0" w:type="auto"/>
          </w:tcPr>
          <w:p w14:paraId="72045805" w14:textId="77777777" w:rsidR="00874260" w:rsidRDefault="00874260" w:rsidP="0031001C">
            <w:pPr>
              <w:rPr>
                <w:sz w:val="24"/>
              </w:rPr>
            </w:pPr>
            <w:r>
              <w:rPr>
                <w:sz w:val="24"/>
              </w:rPr>
              <w:t>16</w:t>
            </w:r>
            <w:r>
              <w:rPr>
                <w:sz w:val="24"/>
                <w:vertAlign w:val="superscript"/>
              </w:rPr>
              <w:t>th</w:t>
            </w:r>
            <w:r>
              <w:rPr>
                <w:sz w:val="24"/>
              </w:rPr>
              <w:t xml:space="preserve"> </w:t>
            </w:r>
          </w:p>
        </w:tc>
        <w:tc>
          <w:tcPr>
            <w:tcW w:w="0" w:type="auto"/>
          </w:tcPr>
          <w:p w14:paraId="2BB19FE5" w14:textId="77777777" w:rsidR="00874260" w:rsidRDefault="00874260" w:rsidP="0031001C">
            <w:pPr>
              <w:rPr>
                <w:sz w:val="24"/>
                <w:highlight w:val="yellow"/>
              </w:rPr>
            </w:pPr>
            <w:r>
              <w:rPr>
                <w:sz w:val="24"/>
                <w:highlight w:val="yellow"/>
              </w:rPr>
              <w:t>9</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584FD334" w14:textId="77777777" w:rsidR="00874260" w:rsidRDefault="00DA1BB8" w:rsidP="0031001C">
            <w:pPr>
              <w:rPr>
                <w:sz w:val="24"/>
              </w:rPr>
            </w:pPr>
            <w:r>
              <w:rPr>
                <w:sz w:val="24"/>
              </w:rPr>
              <w:t xml:space="preserve">Sprint </w:t>
            </w:r>
            <w:r w:rsidR="00874260">
              <w:rPr>
                <w:sz w:val="24"/>
              </w:rPr>
              <w:t>Nextel</w:t>
            </w:r>
          </w:p>
        </w:tc>
        <w:tc>
          <w:tcPr>
            <w:tcW w:w="0" w:type="auto"/>
          </w:tcPr>
          <w:p w14:paraId="096668E1" w14:textId="77777777" w:rsidR="00874260" w:rsidRDefault="00874260" w:rsidP="0031001C">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874260" w14:paraId="2C1333C1" w14:textId="77777777">
        <w:tblPrEx>
          <w:tblCellMar>
            <w:top w:w="0" w:type="dxa"/>
            <w:bottom w:w="0" w:type="dxa"/>
          </w:tblCellMar>
        </w:tblPrEx>
        <w:tc>
          <w:tcPr>
            <w:tcW w:w="0" w:type="auto"/>
          </w:tcPr>
          <w:p w14:paraId="7592F92A" w14:textId="77777777" w:rsidR="00874260" w:rsidRDefault="00874260" w:rsidP="0031001C">
            <w:pPr>
              <w:rPr>
                <w:sz w:val="24"/>
              </w:rPr>
            </w:pPr>
            <w:r>
              <w:rPr>
                <w:sz w:val="24"/>
              </w:rPr>
              <w:t>June</w:t>
            </w:r>
          </w:p>
        </w:tc>
        <w:tc>
          <w:tcPr>
            <w:tcW w:w="0" w:type="auto"/>
          </w:tcPr>
          <w:p w14:paraId="226DAD21" w14:textId="77777777" w:rsidR="00874260" w:rsidRDefault="00874260" w:rsidP="0031001C">
            <w:pPr>
              <w:rPr>
                <w:sz w:val="24"/>
              </w:rPr>
            </w:pPr>
            <w:r>
              <w:rPr>
                <w:sz w:val="24"/>
              </w:rPr>
              <w:t>No meeting</w:t>
            </w:r>
          </w:p>
        </w:tc>
        <w:tc>
          <w:tcPr>
            <w:tcW w:w="0" w:type="auto"/>
          </w:tcPr>
          <w:p w14:paraId="6497A1FA" w14:textId="77777777" w:rsidR="00874260" w:rsidRDefault="00874260" w:rsidP="0031001C">
            <w:pPr>
              <w:rPr>
                <w:sz w:val="24"/>
                <w:highlight w:val="yellow"/>
              </w:rPr>
            </w:pPr>
            <w:r>
              <w:rPr>
                <w:sz w:val="24"/>
                <w:highlight w:val="yellow"/>
              </w:rPr>
              <w:t>No meeting.</w:t>
            </w:r>
          </w:p>
          <w:p w14:paraId="282DEF9B" w14:textId="77777777" w:rsidR="00874260" w:rsidRDefault="00874260" w:rsidP="0031001C">
            <w:pPr>
              <w:rPr>
                <w:sz w:val="24"/>
                <w:highlight w:val="yellow"/>
              </w:rPr>
            </w:pPr>
            <w:smartTag w:uri="urn:schemas-microsoft-com:office:smarttags" w:element="date">
              <w:smartTagPr>
                <w:attr w:name="Month" w:val="6"/>
                <w:attr w:name="Day" w:val="14"/>
                <w:attr w:name="Year" w:val="2006"/>
              </w:smartTagPr>
              <w:r>
                <w:rPr>
                  <w:sz w:val="24"/>
                </w:rPr>
                <w:t>6/14/06</w:t>
              </w:r>
            </w:smartTag>
            <w:r w:rsidR="00233582">
              <w:rPr>
                <w:sz w:val="24"/>
              </w:rPr>
              <w:t xml:space="preserve"> call from </w:t>
            </w:r>
            <w:smartTag w:uri="urn:schemas-microsoft-com:office:smarttags" w:element="time">
              <w:smartTagPr>
                <w:attr w:name="Hour" w:val="10"/>
                <w:attr w:name="Minute" w:val="0"/>
              </w:smartTagPr>
              <w:r w:rsidR="00233582">
                <w:rPr>
                  <w:color w:val="000000"/>
                  <w:sz w:val="24"/>
                  <w:szCs w:val="24"/>
                </w:rPr>
                <w:t>10</w:t>
              </w:r>
              <w:r w:rsidR="00233582" w:rsidRPr="004D5AEF">
                <w:rPr>
                  <w:color w:val="000000"/>
                  <w:sz w:val="24"/>
                  <w:szCs w:val="24"/>
                </w:rPr>
                <w:t>am</w:t>
              </w:r>
            </w:smartTag>
            <w:r w:rsidR="00233582">
              <w:rPr>
                <w:color w:val="000000"/>
                <w:sz w:val="24"/>
                <w:szCs w:val="24"/>
              </w:rPr>
              <w:t xml:space="preserve"> to </w:t>
            </w:r>
            <w:smartTag w:uri="urn:schemas-microsoft-com:office:smarttags" w:element="time">
              <w:smartTagPr>
                <w:attr w:name="Hour" w:val="17"/>
                <w:attr w:name="Minute" w:val="0"/>
              </w:smartTagPr>
              <w:r w:rsidR="00233582">
                <w:rPr>
                  <w:color w:val="000000"/>
                  <w:sz w:val="24"/>
                  <w:szCs w:val="24"/>
                </w:rPr>
                <w:t>5</w:t>
              </w:r>
              <w:r w:rsidR="00233582" w:rsidRPr="004D5AEF">
                <w:rPr>
                  <w:color w:val="000000"/>
                  <w:sz w:val="24"/>
                  <w:szCs w:val="24"/>
                </w:rPr>
                <w:t>pm</w:t>
              </w:r>
            </w:smartTag>
            <w:r w:rsidR="00233582">
              <w:rPr>
                <w:color w:val="000000"/>
                <w:sz w:val="24"/>
                <w:szCs w:val="24"/>
              </w:rPr>
              <w:t xml:space="preserve"> Eastern time, </w:t>
            </w:r>
            <w:r w:rsidR="00233582" w:rsidRPr="004D5AEF">
              <w:rPr>
                <w:color w:val="000000"/>
                <w:sz w:val="24"/>
                <w:szCs w:val="24"/>
              </w:rPr>
              <w:t>dial-in bridge number is 888-412-7808, pin 23272#</w:t>
            </w:r>
            <w:r>
              <w:rPr>
                <w:sz w:val="24"/>
              </w:rPr>
              <w:t>.</w:t>
            </w:r>
          </w:p>
        </w:tc>
        <w:tc>
          <w:tcPr>
            <w:tcW w:w="0" w:type="auto"/>
          </w:tcPr>
          <w:p w14:paraId="054DC37C" w14:textId="77777777" w:rsidR="00874260" w:rsidRDefault="00874260" w:rsidP="0031001C">
            <w:pPr>
              <w:rPr>
                <w:sz w:val="24"/>
              </w:rPr>
            </w:pPr>
          </w:p>
        </w:tc>
        <w:tc>
          <w:tcPr>
            <w:tcW w:w="0" w:type="auto"/>
          </w:tcPr>
          <w:p w14:paraId="13512C0A" w14:textId="77777777" w:rsidR="00874260" w:rsidRDefault="00874260" w:rsidP="0031001C">
            <w:pPr>
              <w:rPr>
                <w:sz w:val="24"/>
              </w:rPr>
            </w:pPr>
          </w:p>
        </w:tc>
      </w:tr>
      <w:tr w:rsidR="00874260" w14:paraId="2D9177E9" w14:textId="77777777">
        <w:tblPrEx>
          <w:tblCellMar>
            <w:top w:w="0" w:type="dxa"/>
            <w:bottom w:w="0" w:type="dxa"/>
          </w:tblCellMar>
        </w:tblPrEx>
        <w:tc>
          <w:tcPr>
            <w:tcW w:w="0" w:type="auto"/>
          </w:tcPr>
          <w:p w14:paraId="77B54ED3" w14:textId="77777777" w:rsidR="00874260" w:rsidRDefault="00874260" w:rsidP="0031001C">
            <w:pPr>
              <w:rPr>
                <w:sz w:val="24"/>
              </w:rPr>
            </w:pPr>
            <w:r>
              <w:rPr>
                <w:sz w:val="24"/>
              </w:rPr>
              <w:t>July</w:t>
            </w:r>
          </w:p>
        </w:tc>
        <w:tc>
          <w:tcPr>
            <w:tcW w:w="0" w:type="auto"/>
          </w:tcPr>
          <w:p w14:paraId="019DDB15" w14:textId="77777777" w:rsidR="00874260" w:rsidRDefault="00874260" w:rsidP="0031001C">
            <w:pPr>
              <w:rPr>
                <w:sz w:val="24"/>
              </w:rPr>
            </w:pPr>
            <w:r>
              <w:rPr>
                <w:sz w:val="24"/>
              </w:rPr>
              <w:t>18</w:t>
            </w:r>
            <w:r>
              <w:rPr>
                <w:sz w:val="24"/>
                <w:vertAlign w:val="superscript"/>
              </w:rPr>
              <w:t>th</w:t>
            </w:r>
            <w:r>
              <w:rPr>
                <w:sz w:val="24"/>
              </w:rPr>
              <w:t xml:space="preserve"> </w:t>
            </w:r>
          </w:p>
        </w:tc>
        <w:tc>
          <w:tcPr>
            <w:tcW w:w="0" w:type="auto"/>
          </w:tcPr>
          <w:p w14:paraId="1FEA73CC" w14:textId="77777777" w:rsidR="00874260" w:rsidRDefault="00874260" w:rsidP="0031001C">
            <w:pPr>
              <w:rPr>
                <w:sz w:val="24"/>
                <w:highlight w:val="yellow"/>
              </w:rPr>
            </w:pPr>
            <w:r>
              <w:rPr>
                <w:sz w:val="24"/>
                <w:highlight w:val="yellow"/>
              </w:rPr>
              <w:t>11</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00691150" w14:textId="77777777" w:rsidR="00874260" w:rsidRDefault="00874260" w:rsidP="0031001C">
            <w:pPr>
              <w:rPr>
                <w:sz w:val="24"/>
              </w:rPr>
            </w:pPr>
            <w:r>
              <w:rPr>
                <w:sz w:val="24"/>
              </w:rPr>
              <w:t>Canadian Consortium</w:t>
            </w:r>
          </w:p>
        </w:tc>
        <w:tc>
          <w:tcPr>
            <w:tcW w:w="0" w:type="auto"/>
          </w:tcPr>
          <w:p w14:paraId="59C9CB84" w14:textId="77777777" w:rsidR="00874260" w:rsidRDefault="00874260" w:rsidP="0031001C">
            <w:pPr>
              <w:rPr>
                <w:sz w:val="24"/>
              </w:rPr>
            </w:pPr>
            <w:smartTag w:uri="urn:schemas-microsoft-com:office:smarttags" w:element="place">
              <w:smartTag w:uri="urn:schemas-microsoft-com:office:smarttags" w:element="City">
                <w:r>
                  <w:rPr>
                    <w:sz w:val="24"/>
                  </w:rPr>
                  <w:t>Edmonton</w:t>
                </w:r>
              </w:smartTag>
            </w:smartTag>
          </w:p>
        </w:tc>
      </w:tr>
      <w:tr w:rsidR="00874260" w14:paraId="22A5636B" w14:textId="77777777">
        <w:tblPrEx>
          <w:tblCellMar>
            <w:top w:w="0" w:type="dxa"/>
            <w:bottom w:w="0" w:type="dxa"/>
          </w:tblCellMar>
        </w:tblPrEx>
        <w:tc>
          <w:tcPr>
            <w:tcW w:w="0" w:type="auto"/>
          </w:tcPr>
          <w:p w14:paraId="40B1F3DF" w14:textId="77777777" w:rsidR="00874260" w:rsidRDefault="00874260" w:rsidP="0031001C">
            <w:pPr>
              <w:rPr>
                <w:sz w:val="24"/>
              </w:rPr>
            </w:pPr>
            <w:r>
              <w:rPr>
                <w:sz w:val="24"/>
              </w:rPr>
              <w:t>August</w:t>
            </w:r>
          </w:p>
        </w:tc>
        <w:tc>
          <w:tcPr>
            <w:tcW w:w="0" w:type="auto"/>
          </w:tcPr>
          <w:p w14:paraId="05E57DC5" w14:textId="77777777" w:rsidR="00874260" w:rsidRDefault="00874260" w:rsidP="0031001C">
            <w:pPr>
              <w:rPr>
                <w:sz w:val="24"/>
              </w:rPr>
            </w:pPr>
            <w:r>
              <w:rPr>
                <w:sz w:val="24"/>
              </w:rPr>
              <w:t>No meeting</w:t>
            </w:r>
          </w:p>
        </w:tc>
        <w:tc>
          <w:tcPr>
            <w:tcW w:w="0" w:type="auto"/>
          </w:tcPr>
          <w:p w14:paraId="5016942E" w14:textId="77777777" w:rsidR="00874260" w:rsidRDefault="00874260" w:rsidP="0031001C">
            <w:pPr>
              <w:rPr>
                <w:sz w:val="24"/>
                <w:highlight w:val="yellow"/>
              </w:rPr>
            </w:pPr>
            <w:r>
              <w:rPr>
                <w:sz w:val="24"/>
                <w:highlight w:val="yellow"/>
              </w:rPr>
              <w:t>No meeting.</w:t>
            </w:r>
          </w:p>
          <w:p w14:paraId="0D3F8999" w14:textId="77777777" w:rsidR="00874260" w:rsidRDefault="00874260" w:rsidP="0031001C">
            <w:pPr>
              <w:rPr>
                <w:sz w:val="24"/>
                <w:highlight w:val="yellow"/>
              </w:rPr>
            </w:pPr>
            <w:smartTag w:uri="urn:schemas-microsoft-com:office:smarttags" w:element="date">
              <w:smartTagPr>
                <w:attr w:name="Month" w:val="8"/>
                <w:attr w:name="Day" w:val="9"/>
                <w:attr w:name="Year" w:val="2006"/>
              </w:smartTagPr>
              <w:r>
                <w:rPr>
                  <w:sz w:val="24"/>
                </w:rPr>
                <w:t>8/9/06</w:t>
              </w:r>
            </w:smartTag>
            <w:r>
              <w:rPr>
                <w:sz w:val="24"/>
              </w:rPr>
              <w:t xml:space="preserve"> reserved for call, if necessary.</w:t>
            </w:r>
          </w:p>
        </w:tc>
        <w:tc>
          <w:tcPr>
            <w:tcW w:w="0" w:type="auto"/>
          </w:tcPr>
          <w:p w14:paraId="598E60BD" w14:textId="77777777" w:rsidR="00874260" w:rsidRDefault="00874260" w:rsidP="0031001C">
            <w:pPr>
              <w:rPr>
                <w:sz w:val="24"/>
              </w:rPr>
            </w:pPr>
          </w:p>
        </w:tc>
        <w:tc>
          <w:tcPr>
            <w:tcW w:w="0" w:type="auto"/>
          </w:tcPr>
          <w:p w14:paraId="4622084E" w14:textId="77777777" w:rsidR="00874260" w:rsidRDefault="00874260" w:rsidP="0031001C">
            <w:pPr>
              <w:rPr>
                <w:sz w:val="24"/>
              </w:rPr>
            </w:pPr>
          </w:p>
        </w:tc>
      </w:tr>
      <w:tr w:rsidR="00874260" w14:paraId="712EA007" w14:textId="77777777">
        <w:tblPrEx>
          <w:tblCellMar>
            <w:top w:w="0" w:type="dxa"/>
            <w:bottom w:w="0" w:type="dxa"/>
          </w:tblCellMar>
        </w:tblPrEx>
        <w:tc>
          <w:tcPr>
            <w:tcW w:w="0" w:type="auto"/>
          </w:tcPr>
          <w:p w14:paraId="3DE3B37F" w14:textId="77777777" w:rsidR="00874260" w:rsidRDefault="00874260" w:rsidP="0031001C">
            <w:pPr>
              <w:rPr>
                <w:sz w:val="24"/>
              </w:rPr>
            </w:pPr>
            <w:r>
              <w:rPr>
                <w:sz w:val="24"/>
              </w:rPr>
              <w:t>September</w:t>
            </w:r>
          </w:p>
        </w:tc>
        <w:tc>
          <w:tcPr>
            <w:tcW w:w="0" w:type="auto"/>
          </w:tcPr>
          <w:p w14:paraId="6369EEBE" w14:textId="77777777" w:rsidR="00874260" w:rsidRDefault="00874260" w:rsidP="0031001C">
            <w:pPr>
              <w:rPr>
                <w:sz w:val="24"/>
              </w:rPr>
            </w:pPr>
            <w:r>
              <w:rPr>
                <w:sz w:val="24"/>
              </w:rPr>
              <w:t>19</w:t>
            </w:r>
            <w:r>
              <w:rPr>
                <w:sz w:val="24"/>
                <w:vertAlign w:val="superscript"/>
              </w:rPr>
              <w:t>th</w:t>
            </w:r>
            <w:r>
              <w:rPr>
                <w:sz w:val="24"/>
              </w:rPr>
              <w:t xml:space="preserve"> </w:t>
            </w:r>
          </w:p>
        </w:tc>
        <w:tc>
          <w:tcPr>
            <w:tcW w:w="0" w:type="auto"/>
          </w:tcPr>
          <w:p w14:paraId="71F8E688" w14:textId="77777777" w:rsidR="00874260" w:rsidRDefault="00874260" w:rsidP="0031001C">
            <w:pPr>
              <w:rPr>
                <w:sz w:val="24"/>
                <w:highlight w:val="yellow"/>
              </w:rPr>
            </w:pPr>
            <w:r>
              <w:rPr>
                <w:sz w:val="24"/>
                <w:highlight w:val="yellow"/>
              </w:rPr>
              <w:t>12</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74B0E4BE" w14:textId="77777777" w:rsidR="00874260" w:rsidRDefault="00874260" w:rsidP="0031001C">
            <w:pPr>
              <w:rPr>
                <w:sz w:val="24"/>
              </w:rPr>
            </w:pPr>
            <w:r>
              <w:rPr>
                <w:sz w:val="24"/>
              </w:rPr>
              <w:t>Verizon</w:t>
            </w:r>
          </w:p>
        </w:tc>
        <w:tc>
          <w:tcPr>
            <w:tcW w:w="0" w:type="auto"/>
          </w:tcPr>
          <w:p w14:paraId="4144383F" w14:textId="77777777" w:rsidR="00874260" w:rsidRDefault="00FA4964" w:rsidP="0031001C">
            <w:pPr>
              <w:rPr>
                <w:sz w:val="24"/>
              </w:rPr>
            </w:pPr>
            <w:smartTag w:uri="urn:schemas-microsoft-com:office:smarttags" w:element="place">
              <w:smartTag w:uri="urn:schemas-microsoft-com:office:smarttags" w:element="City">
                <w:r>
                  <w:rPr>
                    <w:sz w:val="24"/>
                  </w:rPr>
                  <w:t>Baltimore</w:t>
                </w:r>
              </w:smartTag>
            </w:smartTag>
          </w:p>
        </w:tc>
      </w:tr>
      <w:tr w:rsidR="00874260" w14:paraId="3093213F" w14:textId="77777777">
        <w:tblPrEx>
          <w:tblCellMar>
            <w:top w:w="0" w:type="dxa"/>
            <w:bottom w:w="0" w:type="dxa"/>
          </w:tblCellMar>
        </w:tblPrEx>
        <w:tc>
          <w:tcPr>
            <w:tcW w:w="0" w:type="auto"/>
          </w:tcPr>
          <w:p w14:paraId="24BE0FE6" w14:textId="77777777" w:rsidR="00874260" w:rsidRDefault="00874260" w:rsidP="0031001C">
            <w:pPr>
              <w:rPr>
                <w:sz w:val="24"/>
              </w:rPr>
            </w:pPr>
            <w:r>
              <w:rPr>
                <w:sz w:val="24"/>
              </w:rPr>
              <w:t>October</w:t>
            </w:r>
          </w:p>
        </w:tc>
        <w:tc>
          <w:tcPr>
            <w:tcW w:w="0" w:type="auto"/>
          </w:tcPr>
          <w:p w14:paraId="2A74BF00" w14:textId="77777777" w:rsidR="00874260" w:rsidRDefault="00874260" w:rsidP="0031001C">
            <w:pPr>
              <w:rPr>
                <w:sz w:val="24"/>
              </w:rPr>
            </w:pPr>
            <w:r>
              <w:rPr>
                <w:sz w:val="24"/>
              </w:rPr>
              <w:t>No meeting</w:t>
            </w:r>
          </w:p>
        </w:tc>
        <w:tc>
          <w:tcPr>
            <w:tcW w:w="0" w:type="auto"/>
          </w:tcPr>
          <w:p w14:paraId="5BD031AC" w14:textId="77777777" w:rsidR="00874260" w:rsidRDefault="00874260" w:rsidP="0031001C">
            <w:pPr>
              <w:rPr>
                <w:sz w:val="24"/>
                <w:highlight w:val="yellow"/>
              </w:rPr>
            </w:pPr>
            <w:r>
              <w:rPr>
                <w:sz w:val="24"/>
                <w:highlight w:val="yellow"/>
              </w:rPr>
              <w:t>No meeting.</w:t>
            </w:r>
          </w:p>
          <w:p w14:paraId="5D0E890C" w14:textId="77777777" w:rsidR="00874260" w:rsidRDefault="00874260" w:rsidP="0031001C">
            <w:pPr>
              <w:rPr>
                <w:sz w:val="24"/>
                <w:highlight w:val="yellow"/>
              </w:rPr>
            </w:pPr>
            <w:smartTag w:uri="urn:schemas-microsoft-com:office:smarttags" w:element="date">
              <w:smartTagPr>
                <w:attr w:name="Month" w:val="10"/>
                <w:attr w:name="Day" w:val="11"/>
                <w:attr w:name="Year" w:val="2006"/>
              </w:smartTagPr>
              <w:r>
                <w:rPr>
                  <w:sz w:val="24"/>
                </w:rPr>
                <w:t>10/11/06</w:t>
              </w:r>
            </w:smartTag>
            <w:r>
              <w:rPr>
                <w:sz w:val="24"/>
              </w:rPr>
              <w:t xml:space="preserve"> reserved for call, if necessary.</w:t>
            </w:r>
          </w:p>
        </w:tc>
        <w:tc>
          <w:tcPr>
            <w:tcW w:w="0" w:type="auto"/>
          </w:tcPr>
          <w:p w14:paraId="11AC6AFA" w14:textId="77777777" w:rsidR="00874260" w:rsidRDefault="00874260" w:rsidP="0031001C">
            <w:pPr>
              <w:rPr>
                <w:sz w:val="24"/>
              </w:rPr>
            </w:pPr>
          </w:p>
        </w:tc>
        <w:tc>
          <w:tcPr>
            <w:tcW w:w="0" w:type="auto"/>
          </w:tcPr>
          <w:p w14:paraId="1E90B597" w14:textId="77777777" w:rsidR="00874260" w:rsidRDefault="00874260" w:rsidP="0031001C">
            <w:pPr>
              <w:rPr>
                <w:sz w:val="24"/>
              </w:rPr>
            </w:pPr>
          </w:p>
        </w:tc>
      </w:tr>
      <w:tr w:rsidR="00874260" w14:paraId="2E91861B" w14:textId="77777777">
        <w:tblPrEx>
          <w:tblCellMar>
            <w:top w:w="0" w:type="dxa"/>
            <w:bottom w:w="0" w:type="dxa"/>
          </w:tblCellMar>
        </w:tblPrEx>
        <w:tc>
          <w:tcPr>
            <w:tcW w:w="0" w:type="auto"/>
          </w:tcPr>
          <w:p w14:paraId="176F3AFE" w14:textId="77777777" w:rsidR="00874260" w:rsidRDefault="00874260" w:rsidP="0031001C">
            <w:pPr>
              <w:rPr>
                <w:sz w:val="24"/>
              </w:rPr>
            </w:pPr>
            <w:r>
              <w:rPr>
                <w:sz w:val="24"/>
              </w:rPr>
              <w:t>November</w:t>
            </w:r>
          </w:p>
        </w:tc>
        <w:tc>
          <w:tcPr>
            <w:tcW w:w="0" w:type="auto"/>
          </w:tcPr>
          <w:p w14:paraId="2136D23B" w14:textId="77777777" w:rsidR="00874260" w:rsidRDefault="00874260" w:rsidP="0031001C">
            <w:pPr>
              <w:rPr>
                <w:sz w:val="24"/>
              </w:rPr>
            </w:pPr>
            <w:r>
              <w:rPr>
                <w:sz w:val="24"/>
              </w:rPr>
              <w:t>30</w:t>
            </w:r>
            <w:r>
              <w:rPr>
                <w:sz w:val="24"/>
                <w:vertAlign w:val="superscript"/>
              </w:rPr>
              <w:t>th</w:t>
            </w:r>
            <w:r>
              <w:rPr>
                <w:sz w:val="24"/>
              </w:rPr>
              <w:t xml:space="preserve"> </w:t>
            </w:r>
          </w:p>
        </w:tc>
        <w:tc>
          <w:tcPr>
            <w:tcW w:w="0" w:type="auto"/>
          </w:tcPr>
          <w:p w14:paraId="4F2BDE80" w14:textId="77777777" w:rsidR="00874260" w:rsidRPr="00233582" w:rsidRDefault="00E223A7" w:rsidP="0031001C">
            <w:pPr>
              <w:rPr>
                <w:sz w:val="24"/>
                <w:highlight w:val="yellow"/>
              </w:rPr>
            </w:pPr>
            <w:r w:rsidRPr="00233582">
              <w:rPr>
                <w:sz w:val="24"/>
                <w:highlight w:val="yellow"/>
              </w:rPr>
              <w:t>14</w:t>
            </w:r>
            <w:r w:rsidRPr="00233582">
              <w:rPr>
                <w:sz w:val="24"/>
                <w:highlight w:val="yellow"/>
                <w:vertAlign w:val="superscript"/>
              </w:rPr>
              <w:t>th</w:t>
            </w:r>
            <w:r w:rsidRPr="00233582">
              <w:rPr>
                <w:sz w:val="24"/>
                <w:highlight w:val="yellow"/>
              </w:rPr>
              <w:t>-15</w:t>
            </w:r>
            <w:r w:rsidRPr="00233582">
              <w:rPr>
                <w:sz w:val="24"/>
                <w:highlight w:val="yellow"/>
                <w:vertAlign w:val="superscript"/>
              </w:rPr>
              <w:t>th</w:t>
            </w:r>
          </w:p>
        </w:tc>
        <w:tc>
          <w:tcPr>
            <w:tcW w:w="0" w:type="auto"/>
          </w:tcPr>
          <w:p w14:paraId="6103AFC3" w14:textId="77777777" w:rsidR="00874260" w:rsidRDefault="00B31F06" w:rsidP="0031001C">
            <w:pPr>
              <w:rPr>
                <w:sz w:val="24"/>
              </w:rPr>
            </w:pPr>
            <w:r>
              <w:rPr>
                <w:sz w:val="24"/>
              </w:rPr>
              <w:t>at&amp;t</w:t>
            </w:r>
          </w:p>
        </w:tc>
        <w:tc>
          <w:tcPr>
            <w:tcW w:w="0" w:type="auto"/>
          </w:tcPr>
          <w:p w14:paraId="657AAED1" w14:textId="77777777" w:rsidR="00874260" w:rsidRPr="00233582" w:rsidRDefault="00E223A7" w:rsidP="0031001C">
            <w:pPr>
              <w:rPr>
                <w:sz w:val="24"/>
                <w:highlight w:val="yellow"/>
              </w:rPr>
            </w:pPr>
            <w:smartTag w:uri="urn:schemas-microsoft-com:office:smarttags" w:element="place">
              <w:smartTag w:uri="urn:schemas-microsoft-com:office:smarttags" w:element="City">
                <w:r w:rsidRPr="00233582">
                  <w:rPr>
                    <w:sz w:val="24"/>
                  </w:rPr>
                  <w:t>San Antonio</w:t>
                </w:r>
              </w:smartTag>
            </w:smartTag>
          </w:p>
        </w:tc>
      </w:tr>
      <w:tr w:rsidR="00874260" w14:paraId="07079A65" w14:textId="77777777">
        <w:tblPrEx>
          <w:tblCellMar>
            <w:top w:w="0" w:type="dxa"/>
            <w:bottom w:w="0" w:type="dxa"/>
          </w:tblCellMar>
        </w:tblPrEx>
        <w:tc>
          <w:tcPr>
            <w:tcW w:w="0" w:type="auto"/>
          </w:tcPr>
          <w:p w14:paraId="1FD28F27" w14:textId="77777777" w:rsidR="00874260" w:rsidRDefault="00874260" w:rsidP="0031001C">
            <w:pPr>
              <w:rPr>
                <w:sz w:val="24"/>
              </w:rPr>
            </w:pPr>
            <w:r>
              <w:rPr>
                <w:sz w:val="24"/>
              </w:rPr>
              <w:t>December</w:t>
            </w:r>
          </w:p>
        </w:tc>
        <w:tc>
          <w:tcPr>
            <w:tcW w:w="0" w:type="auto"/>
          </w:tcPr>
          <w:p w14:paraId="6BCAA0BC" w14:textId="77777777" w:rsidR="00874260" w:rsidRDefault="00874260" w:rsidP="0031001C">
            <w:pPr>
              <w:rPr>
                <w:sz w:val="24"/>
              </w:rPr>
            </w:pPr>
            <w:r>
              <w:rPr>
                <w:sz w:val="24"/>
              </w:rPr>
              <w:t>No meeting</w:t>
            </w:r>
          </w:p>
        </w:tc>
        <w:tc>
          <w:tcPr>
            <w:tcW w:w="0" w:type="auto"/>
          </w:tcPr>
          <w:p w14:paraId="578536C5" w14:textId="77777777" w:rsidR="00874260" w:rsidRDefault="00874260" w:rsidP="0031001C">
            <w:pPr>
              <w:rPr>
                <w:sz w:val="24"/>
                <w:highlight w:val="yellow"/>
              </w:rPr>
            </w:pPr>
            <w:r>
              <w:rPr>
                <w:sz w:val="24"/>
                <w:highlight w:val="yellow"/>
              </w:rPr>
              <w:t>No meeting.</w:t>
            </w:r>
          </w:p>
          <w:p w14:paraId="2C9301C1" w14:textId="77777777" w:rsidR="00874260" w:rsidRDefault="00874260" w:rsidP="0031001C">
            <w:pPr>
              <w:rPr>
                <w:sz w:val="24"/>
                <w:highlight w:val="yellow"/>
              </w:rPr>
            </w:pPr>
            <w:smartTag w:uri="urn:schemas-microsoft-com:office:smarttags" w:element="date">
              <w:smartTagPr>
                <w:attr w:name="Month" w:val="12"/>
                <w:attr w:name="Day" w:val="6"/>
                <w:attr w:name="Year" w:val="2006"/>
              </w:smartTagPr>
              <w:r>
                <w:rPr>
                  <w:sz w:val="24"/>
                </w:rPr>
                <w:t>12/6/06</w:t>
              </w:r>
            </w:smartTag>
            <w:r>
              <w:rPr>
                <w:sz w:val="24"/>
              </w:rPr>
              <w:t xml:space="preserve"> reserved for call, if necessary.</w:t>
            </w:r>
          </w:p>
        </w:tc>
        <w:tc>
          <w:tcPr>
            <w:tcW w:w="0" w:type="auto"/>
          </w:tcPr>
          <w:p w14:paraId="1EB708F4" w14:textId="77777777" w:rsidR="00874260" w:rsidRDefault="00874260" w:rsidP="0031001C">
            <w:pPr>
              <w:rPr>
                <w:sz w:val="24"/>
              </w:rPr>
            </w:pPr>
          </w:p>
        </w:tc>
        <w:tc>
          <w:tcPr>
            <w:tcW w:w="0" w:type="auto"/>
          </w:tcPr>
          <w:p w14:paraId="6EDF4930" w14:textId="77777777" w:rsidR="00874260" w:rsidRDefault="00874260" w:rsidP="0031001C">
            <w:pPr>
              <w:rPr>
                <w:sz w:val="24"/>
              </w:rPr>
            </w:pPr>
          </w:p>
        </w:tc>
      </w:tr>
      <w:tr w:rsidR="00874260" w14:paraId="026AA9D9" w14:textId="77777777">
        <w:tblPrEx>
          <w:tblCellMar>
            <w:top w:w="0" w:type="dxa"/>
            <w:bottom w:w="0" w:type="dxa"/>
          </w:tblCellMar>
        </w:tblPrEx>
        <w:tc>
          <w:tcPr>
            <w:tcW w:w="0" w:type="auto"/>
          </w:tcPr>
          <w:p w14:paraId="49BAD428" w14:textId="77777777" w:rsidR="00874260" w:rsidRDefault="00874260" w:rsidP="0031001C">
            <w:pPr>
              <w:rPr>
                <w:sz w:val="24"/>
              </w:rPr>
            </w:pPr>
          </w:p>
        </w:tc>
        <w:tc>
          <w:tcPr>
            <w:tcW w:w="0" w:type="auto"/>
          </w:tcPr>
          <w:p w14:paraId="1F69D69A" w14:textId="77777777" w:rsidR="00874260" w:rsidRDefault="00874260" w:rsidP="0031001C">
            <w:pPr>
              <w:rPr>
                <w:sz w:val="24"/>
              </w:rPr>
            </w:pPr>
          </w:p>
        </w:tc>
        <w:tc>
          <w:tcPr>
            <w:tcW w:w="0" w:type="auto"/>
          </w:tcPr>
          <w:p w14:paraId="3A5AA424" w14:textId="77777777" w:rsidR="00874260" w:rsidRDefault="00874260" w:rsidP="0031001C">
            <w:pPr>
              <w:rPr>
                <w:sz w:val="24"/>
              </w:rPr>
            </w:pPr>
          </w:p>
        </w:tc>
        <w:tc>
          <w:tcPr>
            <w:tcW w:w="0" w:type="auto"/>
          </w:tcPr>
          <w:p w14:paraId="4257DCE2" w14:textId="77777777" w:rsidR="00874260" w:rsidRDefault="00874260" w:rsidP="0031001C">
            <w:pPr>
              <w:rPr>
                <w:sz w:val="24"/>
              </w:rPr>
            </w:pPr>
          </w:p>
        </w:tc>
        <w:tc>
          <w:tcPr>
            <w:tcW w:w="0" w:type="auto"/>
          </w:tcPr>
          <w:p w14:paraId="3FC1A1D8" w14:textId="77777777" w:rsidR="00874260" w:rsidRDefault="00874260" w:rsidP="0031001C">
            <w:pPr>
              <w:rPr>
                <w:sz w:val="24"/>
              </w:rPr>
            </w:pPr>
          </w:p>
        </w:tc>
      </w:tr>
    </w:tbl>
    <w:p w14:paraId="51029D28" w14:textId="77777777" w:rsidR="00874260" w:rsidRDefault="00874260" w:rsidP="00874260">
      <w:pPr>
        <w:rPr>
          <w:sz w:val="24"/>
        </w:rPr>
      </w:pPr>
    </w:p>
    <w:p w14:paraId="6C53F1A1" w14:textId="77777777" w:rsidR="00874260" w:rsidRPr="00E30592" w:rsidRDefault="00874260" w:rsidP="006D51A4">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2006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6B69A61F" w14:textId="77777777" w:rsidR="00544562" w:rsidRDefault="00544562">
      <w:pPr>
        <w:rPr>
          <w:sz w:val="24"/>
          <w:u w:val="single"/>
        </w:rPr>
      </w:pPr>
    </w:p>
    <w:p w14:paraId="4F16DE2F" w14:textId="77777777" w:rsidR="004A0537" w:rsidRPr="00A24B32" w:rsidRDefault="00233582" w:rsidP="004A0537">
      <w:pPr>
        <w:pStyle w:val="BodyText"/>
        <w:rPr>
          <w:u w:val="single"/>
        </w:rPr>
      </w:pPr>
      <w:r>
        <w:rPr>
          <w:u w:val="single"/>
        </w:rPr>
        <w:t>NANC 375/NANC 388 Issue</w:t>
      </w:r>
      <w:r w:rsidR="004A0537">
        <w:rPr>
          <w:u w:val="single"/>
        </w:rPr>
        <w:t xml:space="preserve"> (</w:t>
      </w:r>
      <w:r>
        <w:rPr>
          <w:u w:val="single"/>
        </w:rPr>
        <w:t>NeuStar</w:t>
      </w:r>
      <w:r w:rsidR="004A0537">
        <w:rPr>
          <w:u w:val="single"/>
        </w:rPr>
        <w:t>):</w:t>
      </w:r>
    </w:p>
    <w:p w14:paraId="3B5692B5" w14:textId="77777777" w:rsidR="004A0537" w:rsidRDefault="004A0537" w:rsidP="004A0537">
      <w:pPr>
        <w:pStyle w:val="BodyText"/>
      </w:pPr>
    </w:p>
    <w:bookmarkStart w:id="1" w:name="_MON_1213265895"/>
    <w:bookmarkEnd w:id="1"/>
    <w:p w14:paraId="0346F73C" w14:textId="77777777" w:rsidR="00CC6AD8" w:rsidRDefault="00CC6AD8" w:rsidP="004A0537">
      <w:pPr>
        <w:pStyle w:val="BodyText"/>
      </w:pPr>
      <w:r>
        <w:object w:dxaOrig="1535" w:dyaOrig="991" w14:anchorId="21325E16">
          <v:shape id="_x0000_i1026" type="#_x0000_t75" style="width:77pt;height:49.45pt" o:ole="">
            <v:imagedata r:id="rId9" o:title=""/>
          </v:shape>
          <o:OLEObject Type="Embed" ProgID="Word.Document.8" ShapeID="_x0000_i1026" DrawAspect="Icon" ObjectID="_1740816748" r:id="rId10">
            <o:FieldCodes>\s</o:FieldCodes>
          </o:OLEObject>
        </w:object>
      </w:r>
    </w:p>
    <w:p w14:paraId="5487653A" w14:textId="77777777" w:rsidR="00CC6AD8" w:rsidRDefault="00CC6AD8" w:rsidP="004A0537">
      <w:pPr>
        <w:pStyle w:val="BodyText"/>
      </w:pPr>
    </w:p>
    <w:p w14:paraId="69435742" w14:textId="77777777" w:rsidR="004A0537" w:rsidRDefault="00C5539A" w:rsidP="006D51A4">
      <w:pPr>
        <w:pStyle w:val="BodyText"/>
        <w:numPr>
          <w:ilvl w:val="0"/>
          <w:numId w:val="1"/>
        </w:numPr>
      </w:pPr>
      <w:r>
        <w:t xml:space="preserve">Previously, an issue was identified in Release 3.3 with NANC 375, which prevents the New SP from removing an SV from Conflict status when Cause Values 50 or 51 are used by the Old SP, and NANC 388, which </w:t>
      </w:r>
      <w:r w:rsidR="004D5572">
        <w:t>allows an undo of a Cancel.  The issue resulted in the undo Cancel taking the SV back to Pending status, even in cases where the previous status prior to being placed into Cancel Pending was Conflict.  NANC 388 was disabled by agreement of the LNPA WG pending a fix to the issue.</w:t>
      </w:r>
    </w:p>
    <w:p w14:paraId="5777731D" w14:textId="77777777" w:rsidR="004D5572" w:rsidRDefault="004D5572" w:rsidP="004D5572">
      <w:pPr>
        <w:pStyle w:val="BodyText"/>
      </w:pPr>
    </w:p>
    <w:p w14:paraId="1C880E35" w14:textId="77777777" w:rsidR="004D5572" w:rsidRDefault="004D5572" w:rsidP="006D51A4">
      <w:pPr>
        <w:pStyle w:val="BodyText"/>
        <w:numPr>
          <w:ilvl w:val="0"/>
          <w:numId w:val="1"/>
        </w:numPr>
      </w:pPr>
      <w:r>
        <w:t>NeuStar reported that a fix is now in Point Release 3.3.0.3 and is ready for testing.  The fix will result in an undo Cancel taking the SV back to its previous state, e.g., Pending, Conflict with the proper Cause Value.  There is no new state change.</w:t>
      </w:r>
    </w:p>
    <w:p w14:paraId="2A95C599" w14:textId="77777777" w:rsidR="004D5572" w:rsidRDefault="004D5572" w:rsidP="004D5572">
      <w:pPr>
        <w:pStyle w:val="BodyText"/>
      </w:pPr>
    </w:p>
    <w:p w14:paraId="4ECA36DA" w14:textId="77777777" w:rsidR="004D5572" w:rsidRDefault="004D5572" w:rsidP="006D51A4">
      <w:pPr>
        <w:pStyle w:val="BodyText"/>
        <w:numPr>
          <w:ilvl w:val="0"/>
          <w:numId w:val="1"/>
        </w:numPr>
      </w:pPr>
      <w:r>
        <w:t>NeuStar will add a test case to verify that only the Old SP can take the SV out of Conflict after the undo Cancel if the previous state was Conflict with Cause Value 50 or 51.</w:t>
      </w:r>
    </w:p>
    <w:p w14:paraId="3EA732D8" w14:textId="77777777" w:rsidR="00233582" w:rsidRPr="00852A66" w:rsidRDefault="00233582" w:rsidP="004D5572">
      <w:pPr>
        <w:rPr>
          <w:sz w:val="24"/>
        </w:rPr>
      </w:pPr>
    </w:p>
    <w:p w14:paraId="2F5666A8" w14:textId="77777777" w:rsidR="00233582" w:rsidRPr="00852A66" w:rsidRDefault="00233582" w:rsidP="006D51A4">
      <w:pPr>
        <w:numPr>
          <w:ilvl w:val="0"/>
          <w:numId w:val="2"/>
        </w:numPr>
        <w:rPr>
          <w:sz w:val="24"/>
        </w:rPr>
      </w:pPr>
      <w:r>
        <w:rPr>
          <w:sz w:val="24"/>
        </w:rPr>
        <w:t>N</w:t>
      </w:r>
      <w:r w:rsidR="004D5572">
        <w:rPr>
          <w:sz w:val="24"/>
        </w:rPr>
        <w:t>eu</w:t>
      </w:r>
      <w:r>
        <w:rPr>
          <w:sz w:val="24"/>
        </w:rPr>
        <w:t>S</w:t>
      </w:r>
      <w:r w:rsidR="004D5572">
        <w:rPr>
          <w:sz w:val="24"/>
        </w:rPr>
        <w:t>tar was asked if they</w:t>
      </w:r>
      <w:r>
        <w:rPr>
          <w:sz w:val="24"/>
        </w:rPr>
        <w:t xml:space="preserve"> verified that the fix did not cause any additional conflicts.  N</w:t>
      </w:r>
      <w:r w:rsidR="004D5572">
        <w:rPr>
          <w:sz w:val="24"/>
        </w:rPr>
        <w:t>eu</w:t>
      </w:r>
      <w:r>
        <w:rPr>
          <w:sz w:val="24"/>
        </w:rPr>
        <w:t>S</w:t>
      </w:r>
      <w:r w:rsidR="004D5572">
        <w:rPr>
          <w:sz w:val="24"/>
        </w:rPr>
        <w:t>tar</w:t>
      </w:r>
      <w:r>
        <w:rPr>
          <w:sz w:val="24"/>
        </w:rPr>
        <w:t xml:space="preserve"> responded yes.  </w:t>
      </w:r>
    </w:p>
    <w:p w14:paraId="20ACFADF" w14:textId="77777777" w:rsidR="00233582" w:rsidRPr="00852A66" w:rsidRDefault="00233582" w:rsidP="004D5572">
      <w:pPr>
        <w:rPr>
          <w:sz w:val="24"/>
        </w:rPr>
      </w:pPr>
    </w:p>
    <w:p w14:paraId="27210D90" w14:textId="77777777" w:rsidR="00233582" w:rsidRDefault="004D5572" w:rsidP="006D51A4">
      <w:pPr>
        <w:numPr>
          <w:ilvl w:val="0"/>
          <w:numId w:val="2"/>
        </w:numPr>
        <w:rPr>
          <w:sz w:val="24"/>
        </w:rPr>
      </w:pPr>
      <w:r>
        <w:rPr>
          <w:sz w:val="24"/>
        </w:rPr>
        <w:t>The LNPA WG agreed that if</w:t>
      </w:r>
      <w:r w:rsidR="00233582">
        <w:rPr>
          <w:sz w:val="24"/>
        </w:rPr>
        <w:t xml:space="preserve"> we get </w:t>
      </w:r>
      <w:r>
        <w:rPr>
          <w:sz w:val="24"/>
        </w:rPr>
        <w:t xml:space="preserve">all </w:t>
      </w:r>
      <w:r w:rsidR="00233582">
        <w:rPr>
          <w:sz w:val="24"/>
        </w:rPr>
        <w:t xml:space="preserve">test cases by Friday, 6/16, </w:t>
      </w:r>
      <w:r>
        <w:rPr>
          <w:sz w:val="24"/>
        </w:rPr>
        <w:t xml:space="preserve">we should be able to complete testing </w:t>
      </w:r>
      <w:proofErr w:type="gramStart"/>
      <w:r>
        <w:rPr>
          <w:sz w:val="24"/>
        </w:rPr>
        <w:t>in order to</w:t>
      </w:r>
      <w:proofErr w:type="gramEnd"/>
      <w:r>
        <w:rPr>
          <w:sz w:val="24"/>
        </w:rPr>
        <w:t xml:space="preserve"> reactivate NANC 388</w:t>
      </w:r>
      <w:r w:rsidR="00DE257B">
        <w:rPr>
          <w:sz w:val="24"/>
        </w:rPr>
        <w:t xml:space="preserve"> during the 6/25 maintenance</w:t>
      </w:r>
      <w:r w:rsidR="00233582">
        <w:rPr>
          <w:sz w:val="24"/>
        </w:rPr>
        <w:t xml:space="preserve"> window.  N</w:t>
      </w:r>
      <w:r w:rsidR="00DE257B">
        <w:rPr>
          <w:sz w:val="24"/>
        </w:rPr>
        <w:t>eu</w:t>
      </w:r>
      <w:r w:rsidR="00233582">
        <w:rPr>
          <w:sz w:val="24"/>
        </w:rPr>
        <w:t>S</w:t>
      </w:r>
      <w:r w:rsidR="00DE257B">
        <w:rPr>
          <w:sz w:val="24"/>
        </w:rPr>
        <w:t>tar committed to distributing the</w:t>
      </w:r>
      <w:r w:rsidR="00233582">
        <w:rPr>
          <w:sz w:val="24"/>
        </w:rPr>
        <w:t xml:space="preserve"> tes</w:t>
      </w:r>
      <w:r w:rsidR="00DE257B">
        <w:rPr>
          <w:sz w:val="24"/>
        </w:rPr>
        <w:t xml:space="preserve">t cases </w:t>
      </w:r>
      <w:r w:rsidR="00233582">
        <w:rPr>
          <w:sz w:val="24"/>
        </w:rPr>
        <w:t>by Friday.  N</w:t>
      </w:r>
      <w:r w:rsidR="00DE257B">
        <w:rPr>
          <w:sz w:val="24"/>
        </w:rPr>
        <w:t>eu</w:t>
      </w:r>
      <w:r w:rsidR="00233582">
        <w:rPr>
          <w:sz w:val="24"/>
        </w:rPr>
        <w:t>S</w:t>
      </w:r>
      <w:r w:rsidR="00DE257B">
        <w:rPr>
          <w:sz w:val="24"/>
        </w:rPr>
        <w:t>tar</w:t>
      </w:r>
      <w:r w:rsidR="00233582">
        <w:rPr>
          <w:sz w:val="24"/>
        </w:rPr>
        <w:t xml:space="preserve"> will notify </w:t>
      </w:r>
      <w:r w:rsidR="00DE257B">
        <w:rPr>
          <w:sz w:val="24"/>
        </w:rPr>
        <w:t xml:space="preserve">the industry </w:t>
      </w:r>
      <w:r w:rsidR="00233582">
        <w:rPr>
          <w:sz w:val="24"/>
        </w:rPr>
        <w:t xml:space="preserve">on </w:t>
      </w:r>
      <w:r w:rsidR="00DE257B">
        <w:rPr>
          <w:sz w:val="24"/>
        </w:rPr>
        <w:t xml:space="preserve">the </w:t>
      </w:r>
      <w:r w:rsidR="00233582">
        <w:rPr>
          <w:sz w:val="24"/>
        </w:rPr>
        <w:t>X-Regional</w:t>
      </w:r>
      <w:r w:rsidR="00DE257B">
        <w:rPr>
          <w:sz w:val="24"/>
        </w:rPr>
        <w:t xml:space="preserve"> distribution</w:t>
      </w:r>
      <w:r w:rsidR="00233582">
        <w:rPr>
          <w:sz w:val="24"/>
        </w:rPr>
        <w:t>.</w:t>
      </w:r>
    </w:p>
    <w:p w14:paraId="3A120AE7" w14:textId="77777777" w:rsidR="00233582" w:rsidRDefault="00233582" w:rsidP="004A0537">
      <w:pPr>
        <w:pStyle w:val="BodyText"/>
      </w:pPr>
    </w:p>
    <w:p w14:paraId="61392598" w14:textId="77777777" w:rsidR="001764F3" w:rsidRPr="001764F3" w:rsidRDefault="001764F3" w:rsidP="004A0537">
      <w:pPr>
        <w:pStyle w:val="BodyText"/>
        <w:rPr>
          <w:u w:val="single"/>
        </w:rPr>
      </w:pPr>
      <w:r>
        <w:rPr>
          <w:u w:val="single"/>
        </w:rPr>
        <w:t>LNPA WG Discussion on INC Issue 504:</w:t>
      </w:r>
    </w:p>
    <w:p w14:paraId="686424B6" w14:textId="77777777" w:rsidR="00781494" w:rsidRDefault="00781494" w:rsidP="004A0537">
      <w:pPr>
        <w:pStyle w:val="BodyText"/>
      </w:pPr>
    </w:p>
    <w:bookmarkStart w:id="2" w:name="_MON_1213344516"/>
    <w:bookmarkEnd w:id="2"/>
    <w:p w14:paraId="64E15AEB" w14:textId="77777777" w:rsidR="001764F3" w:rsidRDefault="00781494" w:rsidP="001764F3">
      <w:pPr>
        <w:pStyle w:val="BodyText"/>
      </w:pPr>
      <w:r>
        <w:object w:dxaOrig="1535" w:dyaOrig="991" w14:anchorId="24503FD8">
          <v:shape id="_x0000_i1027" type="#_x0000_t75" style="width:77pt;height:49.45pt" o:ole="">
            <v:imagedata r:id="rId11" o:title=""/>
          </v:shape>
          <o:OLEObject Type="Embed" ProgID="Word.Document.8" ShapeID="_x0000_i1027" DrawAspect="Icon" ObjectID="_1740816749" r:id="rId12">
            <o:FieldCodes>\s</o:FieldCodes>
          </o:OLEObject>
        </w:object>
      </w:r>
    </w:p>
    <w:p w14:paraId="3469CC6D" w14:textId="77777777" w:rsidR="001764F3" w:rsidRDefault="001764F3" w:rsidP="006D51A4">
      <w:pPr>
        <w:pStyle w:val="BodyText"/>
        <w:numPr>
          <w:ilvl w:val="0"/>
          <w:numId w:val="3"/>
        </w:numPr>
      </w:pPr>
      <w:r>
        <w:t>INC Issue 504 relates to proposed modifications the Part 1B thousands block donation form to indicate that the block is being allocated back to the donor switch and therefore the –X does not need to be created in the NPAC.</w:t>
      </w:r>
    </w:p>
    <w:p w14:paraId="59D45061" w14:textId="77777777" w:rsidR="001764F3" w:rsidRDefault="001764F3" w:rsidP="001764F3">
      <w:pPr>
        <w:pStyle w:val="BodyText"/>
      </w:pPr>
    </w:p>
    <w:p w14:paraId="411C90D3" w14:textId="77777777" w:rsidR="001764F3" w:rsidRDefault="001764F3" w:rsidP="006D51A4">
      <w:pPr>
        <w:pStyle w:val="BodyText"/>
        <w:numPr>
          <w:ilvl w:val="0"/>
          <w:numId w:val="3"/>
        </w:numPr>
      </w:pPr>
      <w:r>
        <w:t xml:space="preserve">NPAC receives the Part 1B form through the PAS system.  NPAC keys off the Information Only box when determining whether to create </w:t>
      </w:r>
      <w:r w:rsidR="005B1A1D">
        <w:t xml:space="preserve">the </w:t>
      </w:r>
      <w:r>
        <w:t xml:space="preserve">–X.  </w:t>
      </w:r>
      <w:r w:rsidR="005B1A1D">
        <w:t xml:space="preserve">The </w:t>
      </w:r>
      <w:r>
        <w:t>P</w:t>
      </w:r>
      <w:r w:rsidR="005B1A1D">
        <w:t xml:space="preserve">ool </w:t>
      </w:r>
      <w:r>
        <w:t>A</w:t>
      </w:r>
      <w:r w:rsidR="005B1A1D">
        <w:t>dministrator (PA)</w:t>
      </w:r>
      <w:r>
        <w:t xml:space="preserve"> marks </w:t>
      </w:r>
      <w:r w:rsidR="005B1A1D">
        <w:t>the box that the block is being allocated</w:t>
      </w:r>
      <w:r>
        <w:t xml:space="preserve"> back to </w:t>
      </w:r>
      <w:r w:rsidR="005B1A1D">
        <w:t xml:space="preserve">the donor switch when that is the </w:t>
      </w:r>
      <w:proofErr w:type="gramStart"/>
      <w:r w:rsidR="005B1A1D">
        <w:t>case, but</w:t>
      </w:r>
      <w:proofErr w:type="gramEnd"/>
      <w:r w:rsidR="005B1A1D">
        <w:t xml:space="preserve"> does not mark the </w:t>
      </w:r>
      <w:r>
        <w:t>Info</w:t>
      </w:r>
      <w:r w:rsidR="005B1A1D">
        <w:t>rmation</w:t>
      </w:r>
      <w:r>
        <w:t xml:space="preserve"> Only box.</w:t>
      </w:r>
      <w:r w:rsidR="005B1A1D">
        <w:t xml:space="preserve">  The service provider is responsible for modifying the Part 1B form to indicate Information Only when the block is being allocated back to the donor switch, but this does not appear to be happening in all instances.  As a result, NPAC will create the –X in this case since the Information Only box is not marked.</w:t>
      </w:r>
    </w:p>
    <w:p w14:paraId="7FECC497" w14:textId="77777777" w:rsidR="001764F3" w:rsidRDefault="001764F3" w:rsidP="004A0537">
      <w:pPr>
        <w:pStyle w:val="BodyText"/>
      </w:pPr>
    </w:p>
    <w:p w14:paraId="393EE22C" w14:textId="77777777" w:rsidR="000B61BB" w:rsidRDefault="000B61BB" w:rsidP="006D51A4">
      <w:pPr>
        <w:numPr>
          <w:ilvl w:val="0"/>
          <w:numId w:val="3"/>
        </w:numPr>
        <w:rPr>
          <w:sz w:val="24"/>
        </w:rPr>
      </w:pPr>
      <w:r>
        <w:rPr>
          <w:sz w:val="24"/>
        </w:rPr>
        <w:t xml:space="preserve">It was suggested as a possible solution to have NPAC key </w:t>
      </w:r>
      <w:proofErr w:type="gramStart"/>
      <w:r>
        <w:rPr>
          <w:sz w:val="24"/>
        </w:rPr>
        <w:t>off of</w:t>
      </w:r>
      <w:proofErr w:type="gramEnd"/>
      <w:r>
        <w:rPr>
          <w:sz w:val="24"/>
        </w:rPr>
        <w:t xml:space="preserve"> two fields in PAS when determining if the –X should be created:</w:t>
      </w:r>
    </w:p>
    <w:p w14:paraId="3C777BA4" w14:textId="77777777" w:rsidR="000B61BB" w:rsidRDefault="000B61BB" w:rsidP="006D51A4">
      <w:pPr>
        <w:numPr>
          <w:ilvl w:val="0"/>
          <w:numId w:val="4"/>
        </w:numPr>
        <w:rPr>
          <w:sz w:val="24"/>
        </w:rPr>
      </w:pPr>
      <w:r>
        <w:rPr>
          <w:sz w:val="24"/>
        </w:rPr>
        <w:t>the Information Only field, and</w:t>
      </w:r>
    </w:p>
    <w:p w14:paraId="4ECF0B42" w14:textId="77777777" w:rsidR="000B61BB" w:rsidRDefault="000B61BB" w:rsidP="006D51A4">
      <w:pPr>
        <w:numPr>
          <w:ilvl w:val="0"/>
          <w:numId w:val="4"/>
        </w:numPr>
        <w:rPr>
          <w:sz w:val="24"/>
        </w:rPr>
      </w:pPr>
      <w:r>
        <w:rPr>
          <w:sz w:val="24"/>
        </w:rPr>
        <w:t xml:space="preserve">the field indicating that the block allocation is to the donor switch. </w:t>
      </w:r>
    </w:p>
    <w:p w14:paraId="77EFC428" w14:textId="77777777" w:rsidR="000B61BB" w:rsidRPr="008C7CBD" w:rsidRDefault="000B61BB" w:rsidP="000B61BB">
      <w:pPr>
        <w:ind w:left="360"/>
        <w:rPr>
          <w:sz w:val="24"/>
        </w:rPr>
      </w:pPr>
      <w:r>
        <w:rPr>
          <w:sz w:val="24"/>
        </w:rPr>
        <w:t>If either are checked “Yes,” the –X would not be created in NPAC.  If the Information Only field is not checked, but the second field is, the –X would not be created in NPAC.</w:t>
      </w:r>
    </w:p>
    <w:p w14:paraId="444522EC" w14:textId="77777777" w:rsidR="001764F3" w:rsidRDefault="001764F3" w:rsidP="000B61BB">
      <w:pPr>
        <w:pStyle w:val="BodyText"/>
      </w:pPr>
    </w:p>
    <w:p w14:paraId="2B59A342" w14:textId="77777777" w:rsidR="004A0537" w:rsidRPr="00A24B32" w:rsidRDefault="001764F3" w:rsidP="004A0537">
      <w:pPr>
        <w:pStyle w:val="BodyText"/>
        <w:rPr>
          <w:u w:val="single"/>
        </w:rPr>
      </w:pPr>
      <w:r>
        <w:rPr>
          <w:u w:val="single"/>
        </w:rPr>
        <w:t>Joint LNPA WG/INC Call on INC Issue 504</w:t>
      </w:r>
      <w:r w:rsidR="00076DA2">
        <w:rPr>
          <w:u w:val="single"/>
        </w:rPr>
        <w:t>:</w:t>
      </w:r>
    </w:p>
    <w:p w14:paraId="28D8E78E" w14:textId="77777777" w:rsidR="001764F3" w:rsidRDefault="001764F3" w:rsidP="001764F3">
      <w:pPr>
        <w:rPr>
          <w:sz w:val="24"/>
        </w:rPr>
      </w:pPr>
    </w:p>
    <w:bookmarkStart w:id="3" w:name="_MON_1213344286"/>
    <w:bookmarkEnd w:id="3"/>
    <w:p w14:paraId="2437FE7E" w14:textId="77777777" w:rsidR="001764F3" w:rsidRDefault="00781494" w:rsidP="001764F3">
      <w:pPr>
        <w:rPr>
          <w:sz w:val="24"/>
        </w:rPr>
      </w:pPr>
      <w:r w:rsidRPr="00781494">
        <w:rPr>
          <w:sz w:val="24"/>
        </w:rPr>
        <w:object w:dxaOrig="1535" w:dyaOrig="991" w14:anchorId="653BD239">
          <v:shape id="_x0000_i1028" type="#_x0000_t75" style="width:77pt;height:49.45pt" o:ole="">
            <v:imagedata r:id="rId11" o:title=""/>
          </v:shape>
          <o:OLEObject Type="Embed" ProgID="Word.Document.8" ShapeID="_x0000_i1028" DrawAspect="Icon" ObjectID="_1740816750" r:id="rId13">
            <o:FieldCodes>\s</o:FieldCodes>
          </o:OLEObject>
        </w:object>
      </w:r>
      <w:bookmarkStart w:id="4" w:name="_MON_1213344324"/>
      <w:bookmarkStart w:id="5" w:name="_MON_1213344381"/>
      <w:bookmarkEnd w:id="4"/>
      <w:bookmarkEnd w:id="5"/>
      <w:r w:rsidRPr="00781494">
        <w:rPr>
          <w:sz w:val="24"/>
        </w:rPr>
        <w:object w:dxaOrig="1535" w:dyaOrig="991" w14:anchorId="42FCC998">
          <v:shape id="_x0000_i1029" type="#_x0000_t75" style="width:77pt;height:49.45pt" o:ole="">
            <v:imagedata r:id="rId14" o:title=""/>
          </v:shape>
          <o:OLEObject Type="Embed" ProgID="Word.Document.8" ShapeID="_x0000_i1029" DrawAspect="Icon" ObjectID="_1740816751" r:id="rId15">
            <o:FieldCodes>\s</o:FieldCodes>
          </o:OLEObject>
        </w:object>
      </w:r>
      <w:bookmarkStart w:id="6" w:name="_MON_1213344369"/>
      <w:bookmarkEnd w:id="6"/>
      <w:r w:rsidRPr="00781494">
        <w:rPr>
          <w:sz w:val="24"/>
        </w:rPr>
        <w:object w:dxaOrig="1535" w:dyaOrig="991" w14:anchorId="76CEB3D7">
          <v:shape id="_x0000_i1030" type="#_x0000_t75" style="width:77pt;height:49.45pt" o:ole="">
            <v:imagedata r:id="rId16" o:title=""/>
          </v:shape>
          <o:OLEObject Type="Embed" ProgID="Word.Document.8" ShapeID="_x0000_i1030" DrawAspect="Icon" ObjectID="_1740816752" r:id="rId17">
            <o:FieldCodes>\s</o:FieldCodes>
          </o:OLEObject>
        </w:object>
      </w:r>
    </w:p>
    <w:p w14:paraId="132ADB54" w14:textId="77777777" w:rsidR="00592246" w:rsidRDefault="00592246" w:rsidP="006D51A4">
      <w:pPr>
        <w:pStyle w:val="BodyText"/>
        <w:numPr>
          <w:ilvl w:val="0"/>
          <w:numId w:val="5"/>
        </w:numPr>
      </w:pPr>
      <w:r>
        <w:t>After introductions, a member of INC teed up INC Issue 504</w:t>
      </w:r>
      <w:r w:rsidR="00781494">
        <w:t xml:space="preserve"> (refer to related INC documentation attached above)</w:t>
      </w:r>
      <w:r>
        <w:t xml:space="preserve">.  The issue </w:t>
      </w:r>
      <w:r w:rsidR="0050066D">
        <w:t>was</w:t>
      </w:r>
      <w:r>
        <w:t xml:space="preserve"> initi</w:t>
      </w:r>
      <w:r w:rsidR="0050066D">
        <w:t xml:space="preserve">ated by the Pool Administrator </w:t>
      </w:r>
      <w:proofErr w:type="gramStart"/>
      <w:r w:rsidR="0050066D">
        <w:t>in order to</w:t>
      </w:r>
      <w:proofErr w:type="gramEnd"/>
      <w:r w:rsidR="0050066D">
        <w:t xml:space="preserve"> address the case where a block is being allocated to the donor switch, and the –X is created in NPAC even though it will not subsequently be activated.  The –X must then be manually deleted </w:t>
      </w:r>
      <w:proofErr w:type="gramStart"/>
      <w:r w:rsidR="0050066D">
        <w:t>in order to</w:t>
      </w:r>
      <w:proofErr w:type="gramEnd"/>
      <w:r w:rsidR="0050066D">
        <w:t xml:space="preserve"> allow porting in the 1K block.  The issue proposes modifications to the Part 1B form to make it clear that it is not necessary to create the –X in NPAC when the block is being allocated to the donor switch. </w:t>
      </w:r>
    </w:p>
    <w:p w14:paraId="6E2CD7CA" w14:textId="77777777" w:rsidR="00085C24" w:rsidRDefault="00085C24" w:rsidP="00085C24">
      <w:pPr>
        <w:pStyle w:val="BodyText"/>
      </w:pPr>
    </w:p>
    <w:p w14:paraId="495F5C04" w14:textId="77777777" w:rsidR="0050066D" w:rsidRDefault="00C84299" w:rsidP="006D51A4">
      <w:pPr>
        <w:pStyle w:val="BodyText"/>
        <w:numPr>
          <w:ilvl w:val="0"/>
          <w:numId w:val="5"/>
        </w:numPr>
      </w:pPr>
      <w:r>
        <w:t>After the Part 1B form is initially submitted, t</w:t>
      </w:r>
      <w:r w:rsidR="0050066D">
        <w:t xml:space="preserve">he service provider is responsible for modifying the Part 1B form to indicate it is for Information Only when the block is being allocated back to the donor switch.  This appears to be falling through the cracks in some instances.  Since NPAC keys </w:t>
      </w:r>
      <w:proofErr w:type="gramStart"/>
      <w:r w:rsidR="0050066D">
        <w:t>off of</w:t>
      </w:r>
      <w:proofErr w:type="gramEnd"/>
      <w:r w:rsidR="0050066D">
        <w:t xml:space="preserve"> the Information Only box on the Part 1B</w:t>
      </w:r>
      <w:r>
        <w:t xml:space="preserve"> when determining if the –X should be created, the –X will be created in all cases where the box is not checked</w:t>
      </w:r>
      <w:r w:rsidR="0050066D">
        <w:t>.</w:t>
      </w:r>
    </w:p>
    <w:p w14:paraId="6A59D433" w14:textId="77777777" w:rsidR="00085C24" w:rsidRDefault="00085C24" w:rsidP="00085C24">
      <w:pPr>
        <w:pStyle w:val="BodyText"/>
      </w:pPr>
    </w:p>
    <w:p w14:paraId="132EA510" w14:textId="77777777" w:rsidR="00C84299" w:rsidRDefault="00C84299" w:rsidP="006D51A4">
      <w:pPr>
        <w:numPr>
          <w:ilvl w:val="0"/>
          <w:numId w:val="5"/>
        </w:numPr>
        <w:rPr>
          <w:sz w:val="24"/>
        </w:rPr>
      </w:pPr>
      <w:r>
        <w:rPr>
          <w:sz w:val="24"/>
        </w:rPr>
        <w:t xml:space="preserve">Both the LNPA WG and INC settled on a possible solution to have NPAC key </w:t>
      </w:r>
      <w:proofErr w:type="gramStart"/>
      <w:r>
        <w:rPr>
          <w:sz w:val="24"/>
        </w:rPr>
        <w:t>off of</w:t>
      </w:r>
      <w:proofErr w:type="gramEnd"/>
      <w:r>
        <w:rPr>
          <w:sz w:val="24"/>
        </w:rPr>
        <w:t xml:space="preserve"> two fields in PAS when determining if the –X should be created:</w:t>
      </w:r>
    </w:p>
    <w:p w14:paraId="7F7F05F0" w14:textId="77777777" w:rsidR="00C84299" w:rsidRDefault="00C84299" w:rsidP="006D51A4">
      <w:pPr>
        <w:numPr>
          <w:ilvl w:val="1"/>
          <w:numId w:val="5"/>
        </w:numPr>
        <w:rPr>
          <w:sz w:val="24"/>
        </w:rPr>
      </w:pPr>
      <w:r>
        <w:rPr>
          <w:sz w:val="24"/>
        </w:rPr>
        <w:t>the Information Only field, and</w:t>
      </w:r>
    </w:p>
    <w:p w14:paraId="4713D20E" w14:textId="77777777" w:rsidR="00C84299" w:rsidRDefault="00C84299" w:rsidP="006D51A4">
      <w:pPr>
        <w:numPr>
          <w:ilvl w:val="1"/>
          <w:numId w:val="5"/>
        </w:numPr>
        <w:rPr>
          <w:sz w:val="24"/>
        </w:rPr>
      </w:pPr>
      <w:r>
        <w:rPr>
          <w:sz w:val="24"/>
        </w:rPr>
        <w:t>the field indicating that the block allocation is to the donor switch.</w:t>
      </w:r>
    </w:p>
    <w:p w14:paraId="5E6E4551" w14:textId="77777777" w:rsidR="00C84299" w:rsidRPr="008C7CBD" w:rsidRDefault="00C84299" w:rsidP="00C84299">
      <w:pPr>
        <w:ind w:left="360"/>
        <w:rPr>
          <w:sz w:val="24"/>
        </w:rPr>
      </w:pPr>
      <w:r>
        <w:rPr>
          <w:sz w:val="24"/>
        </w:rPr>
        <w:t xml:space="preserve">If either are checked “Yes,” the –X will not be created in NPAC.  If the Information Only field is not checked, but the second field is, the –X will not be created in NPAC.  </w:t>
      </w:r>
      <w:r>
        <w:rPr>
          <w:color w:val="FF0000"/>
          <w:sz w:val="24"/>
        </w:rPr>
        <w:t xml:space="preserve">NeuStar </w:t>
      </w:r>
      <w:r>
        <w:rPr>
          <w:sz w:val="24"/>
        </w:rPr>
        <w:t>will review the block allocation/creation process to determine if this proposal would cause any issues.</w:t>
      </w:r>
    </w:p>
    <w:p w14:paraId="47661349" w14:textId="77777777" w:rsidR="00C84299" w:rsidRDefault="00C84299" w:rsidP="00085C24">
      <w:pPr>
        <w:pStyle w:val="BodyText"/>
      </w:pPr>
    </w:p>
    <w:p w14:paraId="31FEAFB6" w14:textId="77777777" w:rsidR="00085C24" w:rsidRDefault="00C84299" w:rsidP="006D51A4">
      <w:pPr>
        <w:pStyle w:val="BodyText"/>
        <w:numPr>
          <w:ilvl w:val="0"/>
          <w:numId w:val="6"/>
        </w:numPr>
      </w:pPr>
      <w:r>
        <w:t>The LNPA WG thanked the INC for their participation and their contribution to what was a very productive call.</w:t>
      </w:r>
    </w:p>
    <w:p w14:paraId="12A7AAF1" w14:textId="77777777" w:rsidR="001764F3" w:rsidRDefault="001764F3" w:rsidP="00A31985">
      <w:pPr>
        <w:pStyle w:val="BodyText"/>
        <w:rPr>
          <w:snapToGrid w:val="0"/>
        </w:rPr>
      </w:pPr>
    </w:p>
    <w:p w14:paraId="4555A083" w14:textId="77777777" w:rsidR="004A0537" w:rsidRPr="00A24B32" w:rsidRDefault="00A6066A" w:rsidP="004A0537">
      <w:pPr>
        <w:pStyle w:val="BodyText"/>
        <w:rPr>
          <w:u w:val="single"/>
        </w:rPr>
      </w:pPr>
      <w:r>
        <w:rPr>
          <w:u w:val="single"/>
        </w:rPr>
        <w:t>PIM Discussion</w:t>
      </w:r>
      <w:r w:rsidR="00A31985">
        <w:rPr>
          <w:u w:val="single"/>
        </w:rPr>
        <w:t>:</w:t>
      </w:r>
    </w:p>
    <w:p w14:paraId="00FBADF1" w14:textId="77777777" w:rsidR="004A0537" w:rsidRDefault="004A0537" w:rsidP="004A0537">
      <w:pPr>
        <w:pStyle w:val="BodyText"/>
        <w:rPr>
          <w:szCs w:val="24"/>
        </w:rPr>
      </w:pPr>
    </w:p>
    <w:p w14:paraId="524C9CB0" w14:textId="77777777" w:rsidR="00A6066A" w:rsidRDefault="00A6066A" w:rsidP="006D51A4">
      <w:pPr>
        <w:numPr>
          <w:ilvl w:val="0"/>
          <w:numId w:val="6"/>
        </w:numPr>
        <w:rPr>
          <w:sz w:val="24"/>
        </w:rPr>
      </w:pPr>
      <w:r>
        <w:rPr>
          <w:sz w:val="24"/>
        </w:rPr>
        <w:t>PIM 53 – Sara Hooker</w:t>
      </w:r>
      <w:r w:rsidR="00BE2AC4">
        <w:rPr>
          <w:sz w:val="24"/>
        </w:rPr>
        <w:t>, Verizon Wireless</w:t>
      </w:r>
      <w:r>
        <w:rPr>
          <w:sz w:val="24"/>
        </w:rPr>
        <w:t xml:space="preserve"> (Action Items 0506-02, 0506-09, 0506-10)</w:t>
      </w:r>
      <w:r w:rsidR="00BE2AC4">
        <w:rPr>
          <w:sz w:val="24"/>
        </w:rPr>
        <w:t>:</w:t>
      </w:r>
      <w:r>
        <w:rPr>
          <w:sz w:val="24"/>
        </w:rPr>
        <w:t xml:space="preserve"> </w:t>
      </w:r>
    </w:p>
    <w:bookmarkStart w:id="7" w:name="_MON_1210771213"/>
    <w:bookmarkStart w:id="8" w:name="_MON_1210771218"/>
    <w:bookmarkStart w:id="9" w:name="_MON_1211795967"/>
    <w:bookmarkStart w:id="10" w:name="_MON_1212322028"/>
    <w:bookmarkStart w:id="11" w:name="_MON_1213188985"/>
    <w:bookmarkEnd w:id="7"/>
    <w:bookmarkEnd w:id="8"/>
    <w:bookmarkEnd w:id="9"/>
    <w:bookmarkEnd w:id="10"/>
    <w:bookmarkEnd w:id="11"/>
    <w:p w14:paraId="6023F73C" w14:textId="77777777" w:rsidR="00A6066A" w:rsidRDefault="007D7FAA" w:rsidP="00A6066A">
      <w:pPr>
        <w:ind w:firstLine="360"/>
        <w:rPr>
          <w:sz w:val="24"/>
        </w:rPr>
      </w:pPr>
      <w:r w:rsidRPr="00100A97">
        <w:rPr>
          <w:sz w:val="24"/>
        </w:rPr>
        <w:object w:dxaOrig="1535" w:dyaOrig="991" w14:anchorId="72D64753">
          <v:shape id="_x0000_i1031" type="#_x0000_t75" style="width:77pt;height:49.45pt" o:ole="">
            <v:imagedata r:id="rId18" o:title=""/>
          </v:shape>
          <o:OLEObject Type="Embed" ProgID="Word.Document.8" ShapeID="_x0000_i1031" DrawAspect="Icon" ObjectID="_1740816753" r:id="rId19">
            <o:FieldCodes>\s</o:FieldCodes>
          </o:OLEObject>
        </w:object>
      </w:r>
    </w:p>
    <w:p w14:paraId="5ED0A24B" w14:textId="77777777" w:rsidR="007D7FAA" w:rsidRPr="007D7FAA" w:rsidRDefault="007D7FAA" w:rsidP="006D51A4">
      <w:pPr>
        <w:numPr>
          <w:ilvl w:val="1"/>
          <w:numId w:val="6"/>
        </w:numPr>
        <w:rPr>
          <w:sz w:val="24"/>
          <w:szCs w:val="24"/>
          <w:highlight w:val="yellow"/>
        </w:rPr>
      </w:pPr>
      <w:r w:rsidRPr="007D7FAA">
        <w:rPr>
          <w:sz w:val="24"/>
          <w:szCs w:val="24"/>
          <w:highlight w:val="yellow"/>
        </w:rPr>
        <w:t xml:space="preserve">Action Item 0506-02:  Regarding the attached PIM 53, </w:t>
      </w:r>
      <w:r w:rsidRPr="007D7FAA">
        <w:rPr>
          <w:color w:val="FF0000"/>
          <w:sz w:val="24"/>
          <w:szCs w:val="24"/>
          <w:highlight w:val="yellow"/>
        </w:rPr>
        <w:t>Cyd McInerney</w:t>
      </w:r>
      <w:r w:rsidRPr="007D7FAA">
        <w:rPr>
          <w:sz w:val="24"/>
          <w:szCs w:val="24"/>
          <w:highlight w:val="yellow"/>
        </w:rPr>
        <w:t xml:space="preserve">, at&amp;t, will determine if their systems can be overridden to reflect that a number has been ported out </w:t>
      </w:r>
      <w:proofErr w:type="gramStart"/>
      <w:r w:rsidRPr="007D7FAA">
        <w:rPr>
          <w:sz w:val="24"/>
          <w:szCs w:val="24"/>
          <w:highlight w:val="yellow"/>
        </w:rPr>
        <w:t>in order to</w:t>
      </w:r>
      <w:proofErr w:type="gramEnd"/>
      <w:r w:rsidRPr="007D7FAA">
        <w:rPr>
          <w:sz w:val="24"/>
          <w:szCs w:val="24"/>
          <w:highlight w:val="yellow"/>
        </w:rPr>
        <w:t xml:space="preserve"> prevent the need to temporarily take the number back so that the porting process can be reinitiated.</w:t>
      </w:r>
    </w:p>
    <w:p w14:paraId="04EF0DDD" w14:textId="77777777" w:rsidR="007D7FAA" w:rsidRDefault="007D7FAA" w:rsidP="007D7FAA">
      <w:pPr>
        <w:rPr>
          <w:sz w:val="24"/>
        </w:rPr>
      </w:pPr>
    </w:p>
    <w:p w14:paraId="61F37900" w14:textId="77777777" w:rsidR="00A6066A" w:rsidRDefault="00A6066A" w:rsidP="006D51A4">
      <w:pPr>
        <w:numPr>
          <w:ilvl w:val="2"/>
          <w:numId w:val="2"/>
        </w:numPr>
        <w:rPr>
          <w:sz w:val="24"/>
        </w:rPr>
      </w:pPr>
      <w:r>
        <w:rPr>
          <w:sz w:val="24"/>
        </w:rPr>
        <w:t xml:space="preserve">at&amp;t </w:t>
      </w:r>
      <w:r w:rsidR="007D7FAA">
        <w:rPr>
          <w:sz w:val="24"/>
        </w:rPr>
        <w:t xml:space="preserve">reported that they </w:t>
      </w:r>
      <w:r>
        <w:rPr>
          <w:sz w:val="24"/>
        </w:rPr>
        <w:t xml:space="preserve">would have to take </w:t>
      </w:r>
      <w:r w:rsidR="007D7FAA">
        <w:rPr>
          <w:sz w:val="24"/>
        </w:rPr>
        <w:t xml:space="preserve">the </w:t>
      </w:r>
      <w:r>
        <w:rPr>
          <w:sz w:val="24"/>
        </w:rPr>
        <w:t xml:space="preserve">customer out of service to correct the record.  </w:t>
      </w:r>
      <w:r w:rsidR="007D7FAA">
        <w:rPr>
          <w:sz w:val="24"/>
        </w:rPr>
        <w:t>at&amp;t stated that they could</w:t>
      </w:r>
      <w:r>
        <w:rPr>
          <w:sz w:val="24"/>
        </w:rPr>
        <w:t xml:space="preserve"> accept “minimize outage time”</w:t>
      </w:r>
      <w:r w:rsidR="007D7FAA">
        <w:rPr>
          <w:sz w:val="24"/>
        </w:rPr>
        <w:t xml:space="preserve"> in Bullet 2 of the PIM</w:t>
      </w:r>
      <w:r w:rsidR="00C20823">
        <w:rPr>
          <w:sz w:val="24"/>
        </w:rPr>
        <w:t>.  Action Item 0506-02 is closed.</w:t>
      </w:r>
    </w:p>
    <w:p w14:paraId="5475EB29" w14:textId="77777777" w:rsidR="00C20823" w:rsidRDefault="00C20823" w:rsidP="00C20823">
      <w:pPr>
        <w:rPr>
          <w:sz w:val="24"/>
        </w:rPr>
      </w:pPr>
    </w:p>
    <w:p w14:paraId="4ACB6EE4" w14:textId="77777777" w:rsidR="00C20823" w:rsidRPr="00C20823" w:rsidRDefault="00C20823" w:rsidP="006D51A4">
      <w:pPr>
        <w:numPr>
          <w:ilvl w:val="1"/>
          <w:numId w:val="2"/>
        </w:numPr>
        <w:rPr>
          <w:sz w:val="24"/>
          <w:szCs w:val="24"/>
          <w:highlight w:val="yellow"/>
        </w:rPr>
      </w:pPr>
      <w:r w:rsidRPr="00C20823">
        <w:rPr>
          <w:sz w:val="24"/>
          <w:szCs w:val="24"/>
          <w:highlight w:val="yellow"/>
        </w:rPr>
        <w:t xml:space="preserve">Action Item 0506-09:  Regarding the attached PIM 53, </w:t>
      </w:r>
      <w:r w:rsidRPr="00C20823">
        <w:rPr>
          <w:color w:val="FF0000"/>
          <w:sz w:val="24"/>
          <w:szCs w:val="24"/>
          <w:highlight w:val="yellow"/>
        </w:rPr>
        <w:t>Ron Steen</w:t>
      </w:r>
      <w:r w:rsidRPr="00C20823">
        <w:rPr>
          <w:sz w:val="24"/>
          <w:szCs w:val="24"/>
          <w:highlight w:val="yellow"/>
        </w:rPr>
        <w:t xml:space="preserve">, BellSouth, will determine if their systems can be overridden to reflect that a number has been ported out </w:t>
      </w:r>
      <w:proofErr w:type="gramStart"/>
      <w:r w:rsidRPr="00C20823">
        <w:rPr>
          <w:sz w:val="24"/>
          <w:szCs w:val="24"/>
          <w:highlight w:val="yellow"/>
        </w:rPr>
        <w:t>in order to</w:t>
      </w:r>
      <w:proofErr w:type="gramEnd"/>
      <w:r w:rsidRPr="00C20823">
        <w:rPr>
          <w:sz w:val="24"/>
          <w:szCs w:val="24"/>
          <w:highlight w:val="yellow"/>
        </w:rPr>
        <w:t xml:space="preserve"> prevent the need to temporarily take the number back so that the porting process can be reinitiated.</w:t>
      </w:r>
    </w:p>
    <w:p w14:paraId="796A095A" w14:textId="77777777" w:rsidR="00C20823" w:rsidRDefault="00C20823" w:rsidP="00C20823">
      <w:pPr>
        <w:rPr>
          <w:sz w:val="24"/>
        </w:rPr>
      </w:pPr>
    </w:p>
    <w:p w14:paraId="73F5AA71" w14:textId="77777777" w:rsidR="00A6066A" w:rsidRDefault="00A6066A" w:rsidP="006D51A4">
      <w:pPr>
        <w:numPr>
          <w:ilvl w:val="2"/>
          <w:numId w:val="2"/>
        </w:numPr>
        <w:rPr>
          <w:sz w:val="24"/>
        </w:rPr>
      </w:pPr>
      <w:r>
        <w:rPr>
          <w:sz w:val="24"/>
        </w:rPr>
        <w:t>B</w:t>
      </w:r>
      <w:r w:rsidR="00C20823">
        <w:rPr>
          <w:sz w:val="24"/>
        </w:rPr>
        <w:t>ell</w:t>
      </w:r>
      <w:r>
        <w:rPr>
          <w:sz w:val="24"/>
        </w:rPr>
        <w:t>S</w:t>
      </w:r>
      <w:r w:rsidR="00C20823">
        <w:rPr>
          <w:sz w:val="24"/>
        </w:rPr>
        <w:t>outh reported that their systems</w:t>
      </w:r>
      <w:r>
        <w:rPr>
          <w:sz w:val="24"/>
        </w:rPr>
        <w:t xml:space="preserve"> cannot </w:t>
      </w:r>
      <w:r w:rsidR="00C20823">
        <w:rPr>
          <w:sz w:val="24"/>
        </w:rPr>
        <w:t>be overridden</w:t>
      </w:r>
      <w:r>
        <w:rPr>
          <w:sz w:val="24"/>
        </w:rPr>
        <w:t>.  Multiple systems are designed for flow-thru to make changes to inve</w:t>
      </w:r>
      <w:r w:rsidR="00C20823">
        <w:rPr>
          <w:sz w:val="24"/>
        </w:rPr>
        <w:t>ntory.  BellSouth could accept “minimize outage time” in Bullet 2 of the PIM.  Action Item 0506-09 is closed.</w:t>
      </w:r>
    </w:p>
    <w:p w14:paraId="3298AEDB" w14:textId="77777777" w:rsidR="00C20823" w:rsidRDefault="00C20823" w:rsidP="00C20823">
      <w:pPr>
        <w:ind w:left="1800"/>
        <w:rPr>
          <w:sz w:val="24"/>
        </w:rPr>
      </w:pPr>
    </w:p>
    <w:p w14:paraId="2678E080" w14:textId="77777777" w:rsidR="00C20823" w:rsidRPr="00C20823" w:rsidRDefault="00C20823" w:rsidP="006D51A4">
      <w:pPr>
        <w:numPr>
          <w:ilvl w:val="1"/>
          <w:numId w:val="6"/>
        </w:numPr>
        <w:rPr>
          <w:sz w:val="24"/>
          <w:szCs w:val="24"/>
          <w:highlight w:val="yellow"/>
        </w:rPr>
      </w:pPr>
      <w:r w:rsidRPr="00C20823">
        <w:rPr>
          <w:sz w:val="24"/>
          <w:szCs w:val="24"/>
          <w:highlight w:val="yellow"/>
        </w:rPr>
        <w:t xml:space="preserve">Action Item 0506-10:  Regarding the attached PIM 53, </w:t>
      </w:r>
      <w:r w:rsidRPr="00C20823">
        <w:rPr>
          <w:color w:val="FF0000"/>
          <w:sz w:val="24"/>
          <w:szCs w:val="24"/>
          <w:highlight w:val="yellow"/>
        </w:rPr>
        <w:t>Mike Whaley</w:t>
      </w:r>
      <w:r w:rsidRPr="00C20823">
        <w:rPr>
          <w:sz w:val="24"/>
          <w:szCs w:val="24"/>
          <w:highlight w:val="yellow"/>
        </w:rPr>
        <w:t xml:space="preserve">, Qwest, will determine if their systems can be overridden to reflect that a number has been ported out </w:t>
      </w:r>
      <w:proofErr w:type="gramStart"/>
      <w:r w:rsidRPr="00C20823">
        <w:rPr>
          <w:sz w:val="24"/>
          <w:szCs w:val="24"/>
          <w:highlight w:val="yellow"/>
        </w:rPr>
        <w:t>in order to</w:t>
      </w:r>
      <w:proofErr w:type="gramEnd"/>
      <w:r w:rsidRPr="00C20823">
        <w:rPr>
          <w:sz w:val="24"/>
          <w:szCs w:val="24"/>
          <w:highlight w:val="yellow"/>
        </w:rPr>
        <w:t xml:space="preserve"> prevent the need to temporarily take the number back so that the porting process can be reinitiated.</w:t>
      </w:r>
    </w:p>
    <w:p w14:paraId="06495948" w14:textId="77777777" w:rsidR="00C20823" w:rsidRDefault="00C20823" w:rsidP="00C20823">
      <w:pPr>
        <w:rPr>
          <w:sz w:val="24"/>
        </w:rPr>
      </w:pPr>
    </w:p>
    <w:p w14:paraId="46F2DD46" w14:textId="77777777" w:rsidR="00A6066A" w:rsidRDefault="00A6066A" w:rsidP="006D51A4">
      <w:pPr>
        <w:numPr>
          <w:ilvl w:val="2"/>
          <w:numId w:val="2"/>
        </w:numPr>
        <w:rPr>
          <w:sz w:val="24"/>
        </w:rPr>
      </w:pPr>
      <w:r>
        <w:rPr>
          <w:sz w:val="24"/>
        </w:rPr>
        <w:t xml:space="preserve">Qwest does not have a position </w:t>
      </w:r>
      <w:proofErr w:type="gramStart"/>
      <w:r>
        <w:rPr>
          <w:sz w:val="24"/>
        </w:rPr>
        <w:t>at this time</w:t>
      </w:r>
      <w:proofErr w:type="gramEnd"/>
      <w:r>
        <w:rPr>
          <w:sz w:val="24"/>
        </w:rPr>
        <w:t xml:space="preserve">.  </w:t>
      </w:r>
      <w:r w:rsidR="00C20823">
        <w:rPr>
          <w:sz w:val="24"/>
        </w:rPr>
        <w:t>Qwest is a</w:t>
      </w:r>
      <w:r>
        <w:rPr>
          <w:sz w:val="24"/>
        </w:rPr>
        <w:t xml:space="preserve">waiting input from </w:t>
      </w:r>
      <w:r w:rsidR="00C20823">
        <w:rPr>
          <w:sz w:val="24"/>
        </w:rPr>
        <w:t xml:space="preserve">their </w:t>
      </w:r>
      <w:r>
        <w:rPr>
          <w:sz w:val="24"/>
        </w:rPr>
        <w:t>IT</w:t>
      </w:r>
      <w:r w:rsidR="00C20823">
        <w:rPr>
          <w:sz w:val="24"/>
        </w:rPr>
        <w:t xml:space="preserve"> organization</w:t>
      </w:r>
      <w:r>
        <w:rPr>
          <w:sz w:val="24"/>
        </w:rPr>
        <w:t xml:space="preserve">.  Action Item </w:t>
      </w:r>
      <w:r w:rsidR="00C20823">
        <w:rPr>
          <w:sz w:val="24"/>
        </w:rPr>
        <w:t xml:space="preserve">0506-10 </w:t>
      </w:r>
      <w:r>
        <w:rPr>
          <w:sz w:val="24"/>
        </w:rPr>
        <w:t>remains open.</w:t>
      </w:r>
    </w:p>
    <w:p w14:paraId="6E1F9028" w14:textId="77777777" w:rsidR="00C20823" w:rsidRDefault="00C20823" w:rsidP="00C20823">
      <w:pPr>
        <w:ind w:left="1800"/>
        <w:rPr>
          <w:sz w:val="24"/>
        </w:rPr>
      </w:pPr>
    </w:p>
    <w:p w14:paraId="4BEA448B" w14:textId="77777777" w:rsidR="00A6066A" w:rsidRDefault="00CA4073" w:rsidP="006D51A4">
      <w:pPr>
        <w:numPr>
          <w:ilvl w:val="1"/>
          <w:numId w:val="2"/>
        </w:numPr>
        <w:rPr>
          <w:sz w:val="24"/>
        </w:rPr>
      </w:pPr>
      <w:r>
        <w:rPr>
          <w:sz w:val="24"/>
        </w:rPr>
        <w:t>Alltel Wireless does not support</w:t>
      </w:r>
      <w:r w:rsidR="00A6066A">
        <w:rPr>
          <w:sz w:val="24"/>
        </w:rPr>
        <w:t xml:space="preserve"> any wording that recognizes the need for customer outage.  B</w:t>
      </w:r>
      <w:r w:rsidR="0087563B">
        <w:rPr>
          <w:sz w:val="24"/>
        </w:rPr>
        <w:t>ell</w:t>
      </w:r>
      <w:r w:rsidR="00A6066A">
        <w:rPr>
          <w:sz w:val="24"/>
        </w:rPr>
        <w:t>S</w:t>
      </w:r>
      <w:r w:rsidR="0087563B">
        <w:rPr>
          <w:sz w:val="24"/>
        </w:rPr>
        <w:t>outh stated</w:t>
      </w:r>
      <w:r w:rsidR="00A6066A">
        <w:rPr>
          <w:sz w:val="24"/>
        </w:rPr>
        <w:t xml:space="preserve"> that this is not the result of fa</w:t>
      </w:r>
      <w:r w:rsidR="0087563B">
        <w:rPr>
          <w:sz w:val="24"/>
        </w:rPr>
        <w:t>ult on the part of the Old SP.</w:t>
      </w:r>
    </w:p>
    <w:p w14:paraId="755465A1" w14:textId="77777777" w:rsidR="0087563B" w:rsidRDefault="0087563B" w:rsidP="0087563B">
      <w:pPr>
        <w:ind w:left="1080"/>
        <w:rPr>
          <w:sz w:val="24"/>
        </w:rPr>
      </w:pPr>
    </w:p>
    <w:p w14:paraId="41CBC939" w14:textId="77777777" w:rsidR="00A6066A" w:rsidRDefault="0087563B" w:rsidP="006D51A4">
      <w:pPr>
        <w:numPr>
          <w:ilvl w:val="1"/>
          <w:numId w:val="2"/>
        </w:numPr>
        <w:rPr>
          <w:sz w:val="24"/>
        </w:rPr>
      </w:pPr>
      <w:r>
        <w:rPr>
          <w:sz w:val="24"/>
        </w:rPr>
        <w:t xml:space="preserve">There was no objection to the </w:t>
      </w:r>
      <w:r w:rsidR="00A6066A">
        <w:rPr>
          <w:sz w:val="24"/>
        </w:rPr>
        <w:t>1</w:t>
      </w:r>
      <w:r w:rsidR="00A6066A" w:rsidRPr="00FC3EFA">
        <w:rPr>
          <w:sz w:val="24"/>
          <w:vertAlign w:val="superscript"/>
        </w:rPr>
        <w:t>st</w:t>
      </w:r>
      <w:r>
        <w:rPr>
          <w:sz w:val="24"/>
        </w:rPr>
        <w:t xml:space="preserve"> bullet in the Suggested Resolution of the PIM, which states:</w:t>
      </w:r>
    </w:p>
    <w:p w14:paraId="41F373BD" w14:textId="77777777" w:rsidR="0087563B" w:rsidRPr="0087563B" w:rsidRDefault="0087563B" w:rsidP="0087563B">
      <w:pPr>
        <w:autoSpaceDE w:val="0"/>
        <w:autoSpaceDN w:val="0"/>
        <w:adjustRightInd w:val="0"/>
        <w:ind w:left="2160"/>
        <w:rPr>
          <w:color w:val="FF0000"/>
          <w:sz w:val="24"/>
          <w:szCs w:val="24"/>
        </w:rPr>
      </w:pPr>
      <w:r w:rsidRPr="0087563B">
        <w:rPr>
          <w:color w:val="FF0000"/>
          <w:sz w:val="24"/>
          <w:szCs w:val="24"/>
        </w:rPr>
        <w:t>“Providers should not arbitr</w:t>
      </w:r>
      <w:r>
        <w:rPr>
          <w:color w:val="FF0000"/>
          <w:sz w:val="24"/>
          <w:szCs w:val="24"/>
        </w:rPr>
        <w:t xml:space="preserve">arily port back numbers without </w:t>
      </w:r>
      <w:r w:rsidRPr="0087563B">
        <w:rPr>
          <w:color w:val="FF0000"/>
          <w:sz w:val="24"/>
          <w:szCs w:val="24"/>
        </w:rPr>
        <w:t>attempting to</w:t>
      </w:r>
      <w:r>
        <w:rPr>
          <w:color w:val="FF0000"/>
          <w:sz w:val="24"/>
          <w:szCs w:val="24"/>
        </w:rPr>
        <w:t xml:space="preserve"> </w:t>
      </w:r>
      <w:r w:rsidRPr="0087563B">
        <w:rPr>
          <w:color w:val="FF0000"/>
          <w:sz w:val="24"/>
          <w:szCs w:val="24"/>
        </w:rPr>
        <w:t>contact and work with the New SP to resolve any disputes/issues related</w:t>
      </w:r>
      <w:r>
        <w:rPr>
          <w:color w:val="FF0000"/>
          <w:sz w:val="24"/>
          <w:szCs w:val="24"/>
        </w:rPr>
        <w:t xml:space="preserve"> </w:t>
      </w:r>
      <w:r w:rsidRPr="0087563B">
        <w:rPr>
          <w:color w:val="FF0000"/>
          <w:sz w:val="24"/>
          <w:szCs w:val="24"/>
        </w:rPr>
        <w:t>to the port.”</w:t>
      </w:r>
    </w:p>
    <w:p w14:paraId="33ABDFF2" w14:textId="77777777" w:rsidR="0087563B" w:rsidRDefault="0087563B" w:rsidP="0087563B">
      <w:pPr>
        <w:rPr>
          <w:sz w:val="24"/>
        </w:rPr>
      </w:pPr>
    </w:p>
    <w:p w14:paraId="63BB08ED" w14:textId="77777777" w:rsidR="00A6066A" w:rsidRDefault="00A6066A" w:rsidP="006D51A4">
      <w:pPr>
        <w:numPr>
          <w:ilvl w:val="1"/>
          <w:numId w:val="2"/>
        </w:numPr>
        <w:rPr>
          <w:sz w:val="24"/>
        </w:rPr>
      </w:pPr>
      <w:r>
        <w:rPr>
          <w:sz w:val="24"/>
        </w:rPr>
        <w:t xml:space="preserve">Bullet 2 </w:t>
      </w:r>
      <w:r w:rsidR="0087563B">
        <w:rPr>
          <w:sz w:val="24"/>
        </w:rPr>
        <w:t xml:space="preserve">in the Suggested Resolution of the PIM </w:t>
      </w:r>
      <w:r>
        <w:rPr>
          <w:sz w:val="24"/>
        </w:rPr>
        <w:t>stays open.</w:t>
      </w:r>
      <w:r w:rsidR="0087563B">
        <w:rPr>
          <w:sz w:val="24"/>
        </w:rPr>
        <w:t xml:space="preserve">  It currently states:</w:t>
      </w:r>
    </w:p>
    <w:p w14:paraId="195246EA" w14:textId="77777777" w:rsidR="0087563B" w:rsidRPr="0087563B" w:rsidRDefault="0087563B" w:rsidP="0087563B">
      <w:pPr>
        <w:autoSpaceDE w:val="0"/>
        <w:autoSpaceDN w:val="0"/>
        <w:adjustRightInd w:val="0"/>
        <w:ind w:left="2160"/>
        <w:rPr>
          <w:color w:val="FF0000"/>
          <w:sz w:val="24"/>
          <w:szCs w:val="24"/>
        </w:rPr>
      </w:pPr>
      <w:r w:rsidRPr="0087563B">
        <w:rPr>
          <w:color w:val="FF0000"/>
          <w:sz w:val="24"/>
          <w:szCs w:val="24"/>
        </w:rPr>
        <w:t>“For an activated port that is disputed by the Old SP or not recognized in the systems of the Old SP, if it is determined that it was in fact the intent of the end user to port his/her number to the New SP, both providers should work together in resolving any systems true-up issues without impacting the end user’s service.”</w:t>
      </w:r>
    </w:p>
    <w:p w14:paraId="0477382F" w14:textId="77777777" w:rsidR="0087563B" w:rsidRDefault="0087563B" w:rsidP="0087563B">
      <w:pPr>
        <w:rPr>
          <w:sz w:val="24"/>
        </w:rPr>
      </w:pPr>
    </w:p>
    <w:p w14:paraId="6CB306E3" w14:textId="77777777" w:rsidR="0087563B" w:rsidRPr="00EE4EBA" w:rsidRDefault="0087563B" w:rsidP="006D51A4">
      <w:pPr>
        <w:numPr>
          <w:ilvl w:val="1"/>
          <w:numId w:val="6"/>
        </w:numPr>
        <w:rPr>
          <w:sz w:val="24"/>
        </w:rPr>
      </w:pPr>
      <w:r>
        <w:rPr>
          <w:color w:val="FF0000"/>
          <w:sz w:val="24"/>
        </w:rPr>
        <w:t>Gary Sacra</w:t>
      </w:r>
      <w:r>
        <w:rPr>
          <w:sz w:val="24"/>
        </w:rPr>
        <w:t>, LNPA WG Co-Chair, will revise the 3</w:t>
      </w:r>
      <w:r w:rsidRPr="00EE4EBA">
        <w:rPr>
          <w:sz w:val="24"/>
          <w:vertAlign w:val="superscript"/>
        </w:rPr>
        <w:t>rd</w:t>
      </w:r>
      <w:r>
        <w:rPr>
          <w:sz w:val="24"/>
        </w:rPr>
        <w:t xml:space="preserve"> bullet in the Suggested Resolution to read:</w:t>
      </w:r>
    </w:p>
    <w:p w14:paraId="2B1C2BED" w14:textId="77777777" w:rsidR="0087563B" w:rsidRPr="0087563B" w:rsidRDefault="0087563B" w:rsidP="0087563B">
      <w:pPr>
        <w:ind w:left="2160"/>
        <w:rPr>
          <w:color w:val="FF0000"/>
          <w:sz w:val="24"/>
        </w:rPr>
      </w:pPr>
      <w:r w:rsidRPr="0087563B">
        <w:rPr>
          <w:color w:val="FF0000"/>
          <w:sz w:val="24"/>
        </w:rPr>
        <w:t>“In the case of a double assignment, between the two end users involved, the end user with the longer continuous service with that number shall retain the number, unless otherwise agreed to by the providers involved.”</w:t>
      </w:r>
    </w:p>
    <w:p w14:paraId="72CDE781" w14:textId="77777777" w:rsidR="0087563B" w:rsidRDefault="0087563B" w:rsidP="0087563B">
      <w:pPr>
        <w:rPr>
          <w:sz w:val="24"/>
        </w:rPr>
      </w:pPr>
    </w:p>
    <w:p w14:paraId="603739D8" w14:textId="77777777" w:rsidR="0087563B" w:rsidRDefault="0087563B" w:rsidP="006D51A4">
      <w:pPr>
        <w:numPr>
          <w:ilvl w:val="1"/>
          <w:numId w:val="2"/>
        </w:numPr>
        <w:rPr>
          <w:sz w:val="24"/>
        </w:rPr>
      </w:pPr>
      <w:r>
        <w:rPr>
          <w:sz w:val="24"/>
        </w:rPr>
        <w:t>There was no objection to the 4</w:t>
      </w:r>
      <w:r w:rsidRPr="0087563B">
        <w:rPr>
          <w:sz w:val="24"/>
          <w:vertAlign w:val="superscript"/>
        </w:rPr>
        <w:t>th</w:t>
      </w:r>
      <w:r>
        <w:rPr>
          <w:sz w:val="24"/>
        </w:rPr>
        <w:t xml:space="preserve"> bullet in the Suggested Resolution of the PIM, which states:</w:t>
      </w:r>
    </w:p>
    <w:p w14:paraId="41B30895" w14:textId="77777777" w:rsidR="007721DC" w:rsidRPr="007721DC" w:rsidRDefault="007721DC" w:rsidP="007721DC">
      <w:pPr>
        <w:autoSpaceDE w:val="0"/>
        <w:autoSpaceDN w:val="0"/>
        <w:adjustRightInd w:val="0"/>
        <w:ind w:left="2160"/>
        <w:rPr>
          <w:color w:val="FF0000"/>
          <w:sz w:val="24"/>
          <w:szCs w:val="24"/>
        </w:rPr>
      </w:pPr>
      <w:r>
        <w:rPr>
          <w:color w:val="FF0000"/>
          <w:sz w:val="24"/>
          <w:szCs w:val="24"/>
        </w:rPr>
        <w:t>“</w:t>
      </w:r>
      <w:r w:rsidRPr="007721DC">
        <w:rPr>
          <w:color w:val="FF0000"/>
          <w:sz w:val="24"/>
          <w:szCs w:val="24"/>
        </w:rPr>
        <w:t xml:space="preserve">In any case of an inadvertent port, </w:t>
      </w:r>
      <w:r>
        <w:rPr>
          <w:color w:val="FF0000"/>
          <w:sz w:val="24"/>
          <w:szCs w:val="24"/>
        </w:rPr>
        <w:t xml:space="preserve">defined here as a port where it </w:t>
      </w:r>
      <w:r w:rsidRPr="007721DC">
        <w:rPr>
          <w:color w:val="FF0000"/>
          <w:sz w:val="24"/>
          <w:szCs w:val="24"/>
        </w:rPr>
        <w:t>was</w:t>
      </w:r>
      <w:r>
        <w:rPr>
          <w:color w:val="FF0000"/>
          <w:sz w:val="24"/>
          <w:szCs w:val="24"/>
        </w:rPr>
        <w:t xml:space="preserve"> </w:t>
      </w:r>
      <w:r w:rsidRPr="007721DC">
        <w:rPr>
          <w:color w:val="FF0000"/>
          <w:sz w:val="24"/>
          <w:szCs w:val="24"/>
        </w:rPr>
        <w:t>not the intention of the end user to port his/her number to the New SP,</w:t>
      </w:r>
      <w:r>
        <w:rPr>
          <w:color w:val="FF0000"/>
          <w:sz w:val="24"/>
          <w:szCs w:val="24"/>
        </w:rPr>
        <w:t xml:space="preserve"> </w:t>
      </w:r>
      <w:r w:rsidRPr="007721DC">
        <w:rPr>
          <w:color w:val="FF0000"/>
          <w:sz w:val="24"/>
          <w:szCs w:val="24"/>
        </w:rPr>
        <w:t>both providers will work together to restore the end user’s service with</w:t>
      </w:r>
      <w:r>
        <w:rPr>
          <w:color w:val="FF0000"/>
          <w:sz w:val="24"/>
          <w:szCs w:val="24"/>
        </w:rPr>
        <w:t xml:space="preserve"> </w:t>
      </w:r>
      <w:r w:rsidRPr="007721DC">
        <w:rPr>
          <w:color w:val="FF0000"/>
          <w:sz w:val="24"/>
          <w:szCs w:val="24"/>
        </w:rPr>
        <w:t>the Old SP as quickly as possible, regardless of the time interval</w:t>
      </w:r>
      <w:r>
        <w:rPr>
          <w:color w:val="FF0000"/>
          <w:sz w:val="24"/>
          <w:szCs w:val="24"/>
        </w:rPr>
        <w:t xml:space="preserve"> </w:t>
      </w:r>
      <w:r w:rsidRPr="007721DC">
        <w:rPr>
          <w:color w:val="FF0000"/>
          <w:sz w:val="24"/>
          <w:szCs w:val="24"/>
        </w:rPr>
        <w:t>between activation of the inadvertent port and discovery of the</w:t>
      </w:r>
      <w:r>
        <w:rPr>
          <w:color w:val="FF0000"/>
          <w:sz w:val="24"/>
          <w:szCs w:val="24"/>
        </w:rPr>
        <w:t xml:space="preserve"> </w:t>
      </w:r>
      <w:r w:rsidRPr="007721DC">
        <w:rPr>
          <w:color w:val="FF0000"/>
          <w:sz w:val="24"/>
          <w:szCs w:val="24"/>
        </w:rPr>
        <w:t>inadvertent port.</w:t>
      </w:r>
      <w:r>
        <w:rPr>
          <w:color w:val="FF0000"/>
          <w:sz w:val="24"/>
          <w:szCs w:val="24"/>
        </w:rPr>
        <w:t>”</w:t>
      </w:r>
    </w:p>
    <w:p w14:paraId="0C5D124D" w14:textId="77777777" w:rsidR="0087563B" w:rsidRDefault="0087563B" w:rsidP="0087563B">
      <w:pPr>
        <w:rPr>
          <w:sz w:val="24"/>
        </w:rPr>
      </w:pPr>
    </w:p>
    <w:p w14:paraId="6993C31A" w14:textId="77777777" w:rsidR="00A6066A" w:rsidRDefault="007721DC" w:rsidP="006D51A4">
      <w:pPr>
        <w:numPr>
          <w:ilvl w:val="1"/>
          <w:numId w:val="2"/>
        </w:numPr>
        <w:rPr>
          <w:sz w:val="24"/>
        </w:rPr>
      </w:pPr>
      <w:r>
        <w:rPr>
          <w:sz w:val="24"/>
        </w:rPr>
        <w:t>PIM 53 will be discussed at the</w:t>
      </w:r>
      <w:r w:rsidR="00A6066A">
        <w:rPr>
          <w:sz w:val="24"/>
        </w:rPr>
        <w:t xml:space="preserve"> July</w:t>
      </w:r>
      <w:r>
        <w:rPr>
          <w:sz w:val="24"/>
        </w:rPr>
        <w:t xml:space="preserve"> LNPA WG meeting</w:t>
      </w:r>
      <w:r w:rsidR="00A6066A">
        <w:rPr>
          <w:sz w:val="24"/>
        </w:rPr>
        <w:t>.</w:t>
      </w:r>
    </w:p>
    <w:p w14:paraId="64B09FF3" w14:textId="77777777" w:rsidR="0087563B" w:rsidRDefault="0087563B" w:rsidP="0087563B">
      <w:pPr>
        <w:rPr>
          <w:sz w:val="24"/>
        </w:rPr>
      </w:pPr>
    </w:p>
    <w:p w14:paraId="66F50F82" w14:textId="77777777" w:rsidR="00A6066A" w:rsidRPr="007D5504" w:rsidRDefault="007721DC" w:rsidP="006D51A4">
      <w:pPr>
        <w:numPr>
          <w:ilvl w:val="1"/>
          <w:numId w:val="6"/>
        </w:numPr>
        <w:rPr>
          <w:sz w:val="24"/>
        </w:rPr>
      </w:pPr>
      <w:r>
        <w:rPr>
          <w:color w:val="FF0000"/>
          <w:sz w:val="24"/>
        </w:rPr>
        <w:t>Service Providers</w:t>
      </w:r>
      <w:r>
        <w:rPr>
          <w:sz w:val="24"/>
        </w:rPr>
        <w:t xml:space="preserve"> are to come to the July LNPA WG meeting prepared to provide contact numbers within their respective companies for other providers to use to resolve issues that are addressed in the PIM.</w:t>
      </w:r>
    </w:p>
    <w:p w14:paraId="6260CD16" w14:textId="77777777" w:rsidR="00A6066A" w:rsidRDefault="00A6066A" w:rsidP="004A0537">
      <w:pPr>
        <w:pStyle w:val="BodyText"/>
        <w:rPr>
          <w:szCs w:val="24"/>
        </w:rPr>
      </w:pPr>
    </w:p>
    <w:p w14:paraId="36A89D2F" w14:textId="77777777" w:rsidR="00A6066A" w:rsidRDefault="00BE2AC4" w:rsidP="006D51A4">
      <w:pPr>
        <w:pStyle w:val="BodyText"/>
        <w:numPr>
          <w:ilvl w:val="0"/>
          <w:numId w:val="6"/>
        </w:numPr>
        <w:rPr>
          <w:szCs w:val="24"/>
        </w:rPr>
      </w:pPr>
      <w:r>
        <w:rPr>
          <w:szCs w:val="24"/>
        </w:rPr>
        <w:t xml:space="preserve">PIM 54 – </w:t>
      </w:r>
      <w:smartTag w:uri="urn:schemas-microsoft-com:office:smarttags" w:element="place">
        <w:smartTag w:uri="urn:schemas-microsoft-com:office:smarttags" w:element="City">
          <w:r>
            <w:rPr>
              <w:szCs w:val="24"/>
            </w:rPr>
            <w:t>Nancy</w:t>
          </w:r>
        </w:smartTag>
      </w:smartTag>
      <w:r>
        <w:rPr>
          <w:szCs w:val="24"/>
        </w:rPr>
        <w:t xml:space="preserve"> Sanders, Comcast (Action Item 0506-08):</w:t>
      </w:r>
    </w:p>
    <w:p w14:paraId="7DA2E5E4" w14:textId="77777777" w:rsidR="00A6066A" w:rsidRDefault="00A6066A" w:rsidP="004A0537">
      <w:pPr>
        <w:pStyle w:val="BodyText"/>
        <w:rPr>
          <w:szCs w:val="24"/>
        </w:rPr>
      </w:pPr>
    </w:p>
    <w:bookmarkStart w:id="12" w:name="_MON_1210773687"/>
    <w:bookmarkStart w:id="13" w:name="_MON_1211797337"/>
    <w:bookmarkEnd w:id="12"/>
    <w:bookmarkEnd w:id="13"/>
    <w:p w14:paraId="6D5A6984" w14:textId="77777777" w:rsidR="00A6066A" w:rsidRDefault="00BE2AC4" w:rsidP="004A0537">
      <w:pPr>
        <w:pStyle w:val="BodyText"/>
        <w:rPr>
          <w:szCs w:val="24"/>
        </w:rPr>
      </w:pPr>
      <w:r w:rsidRPr="000828FE">
        <w:object w:dxaOrig="1535" w:dyaOrig="991" w14:anchorId="217B1DAF">
          <v:shape id="_x0000_i1032" type="#_x0000_t75" style="width:77pt;height:49.45pt" o:ole="">
            <v:imagedata r:id="rId20" o:title=""/>
          </v:shape>
          <o:OLEObject Type="Embed" ProgID="Word.Document.8" ShapeID="_x0000_i1032" DrawAspect="Icon" ObjectID="_1740816754" r:id="rId21">
            <o:FieldCodes>\s</o:FieldCodes>
          </o:OLEObject>
        </w:object>
      </w:r>
    </w:p>
    <w:p w14:paraId="408ED960" w14:textId="77777777" w:rsidR="00324D02" w:rsidRDefault="00BE2AC4" w:rsidP="006D51A4">
      <w:pPr>
        <w:numPr>
          <w:ilvl w:val="1"/>
          <w:numId w:val="2"/>
        </w:numPr>
        <w:rPr>
          <w:sz w:val="24"/>
        </w:rPr>
      </w:pPr>
      <w:r>
        <w:rPr>
          <w:sz w:val="24"/>
        </w:rPr>
        <w:t xml:space="preserve">Nancy </w:t>
      </w:r>
      <w:r w:rsidR="00324D02">
        <w:rPr>
          <w:sz w:val="24"/>
        </w:rPr>
        <w:t xml:space="preserve">Sanders, Comcast, </w:t>
      </w:r>
      <w:r>
        <w:rPr>
          <w:sz w:val="24"/>
        </w:rPr>
        <w:t xml:space="preserve">teed up </w:t>
      </w:r>
      <w:r w:rsidR="00324D02">
        <w:rPr>
          <w:sz w:val="24"/>
        </w:rPr>
        <w:t xml:space="preserve">the attached </w:t>
      </w:r>
      <w:r>
        <w:rPr>
          <w:sz w:val="24"/>
        </w:rPr>
        <w:t>revised PIM</w:t>
      </w:r>
      <w:r w:rsidR="00324D02">
        <w:rPr>
          <w:sz w:val="24"/>
        </w:rPr>
        <w:t xml:space="preserve"> 54</w:t>
      </w:r>
      <w:r>
        <w:rPr>
          <w:sz w:val="24"/>
        </w:rPr>
        <w:t xml:space="preserve">.  </w:t>
      </w:r>
      <w:r w:rsidR="00324D02">
        <w:rPr>
          <w:sz w:val="24"/>
        </w:rPr>
        <w:t>The PIM seeks a</w:t>
      </w:r>
      <w:r>
        <w:rPr>
          <w:sz w:val="24"/>
        </w:rPr>
        <w:t xml:space="preserve"> standard </w:t>
      </w:r>
      <w:proofErr w:type="gramStart"/>
      <w:r>
        <w:rPr>
          <w:sz w:val="24"/>
        </w:rPr>
        <w:t>1 day</w:t>
      </w:r>
      <w:proofErr w:type="gramEnd"/>
      <w:r>
        <w:rPr>
          <w:sz w:val="24"/>
        </w:rPr>
        <w:t xml:space="preserve"> porting interval for </w:t>
      </w:r>
      <w:r w:rsidR="00324D02">
        <w:rPr>
          <w:sz w:val="24"/>
        </w:rPr>
        <w:t xml:space="preserve">specific </w:t>
      </w:r>
      <w:r>
        <w:rPr>
          <w:sz w:val="24"/>
        </w:rPr>
        <w:t xml:space="preserve">wireline-wireline and </w:t>
      </w:r>
      <w:r w:rsidR="00324D02">
        <w:rPr>
          <w:sz w:val="24"/>
        </w:rPr>
        <w:t>inter-modal ports (see proposed criteria in the attached PIM).</w:t>
      </w:r>
    </w:p>
    <w:p w14:paraId="43360B6C" w14:textId="77777777" w:rsidR="00324D02" w:rsidRDefault="00324D02" w:rsidP="00324D02">
      <w:pPr>
        <w:ind w:left="1080"/>
        <w:rPr>
          <w:sz w:val="24"/>
        </w:rPr>
      </w:pPr>
    </w:p>
    <w:p w14:paraId="0B60F605" w14:textId="77777777" w:rsidR="00324D02" w:rsidRDefault="00324D02" w:rsidP="006D51A4">
      <w:pPr>
        <w:numPr>
          <w:ilvl w:val="1"/>
          <w:numId w:val="2"/>
        </w:numPr>
        <w:rPr>
          <w:sz w:val="24"/>
        </w:rPr>
      </w:pPr>
      <w:r>
        <w:rPr>
          <w:sz w:val="24"/>
        </w:rPr>
        <w:t>Comcast stated that the type of ports addressed in the PIM comprises</w:t>
      </w:r>
      <w:r w:rsidR="00BE2AC4">
        <w:rPr>
          <w:sz w:val="24"/>
        </w:rPr>
        <w:t xml:space="preserve"> 90%</w:t>
      </w:r>
      <w:r>
        <w:rPr>
          <w:sz w:val="24"/>
        </w:rPr>
        <w:t xml:space="preserve"> of their porting activity</w:t>
      </w:r>
      <w:r w:rsidR="00BE2AC4">
        <w:rPr>
          <w:sz w:val="24"/>
        </w:rPr>
        <w:t>.</w:t>
      </w:r>
    </w:p>
    <w:p w14:paraId="21CAD1BE" w14:textId="77777777" w:rsidR="00324D02" w:rsidRDefault="00324D02" w:rsidP="00324D02">
      <w:pPr>
        <w:rPr>
          <w:color w:val="FF0000"/>
          <w:sz w:val="24"/>
        </w:rPr>
      </w:pPr>
    </w:p>
    <w:p w14:paraId="7CDD3B23" w14:textId="77777777" w:rsidR="00324D02" w:rsidRDefault="00324D02" w:rsidP="006D51A4">
      <w:pPr>
        <w:numPr>
          <w:ilvl w:val="1"/>
          <w:numId w:val="2"/>
        </w:numPr>
        <w:rPr>
          <w:sz w:val="24"/>
        </w:rPr>
      </w:pPr>
      <w:r>
        <w:rPr>
          <w:color w:val="FF0000"/>
          <w:sz w:val="24"/>
        </w:rPr>
        <w:t>Service Providers</w:t>
      </w:r>
      <w:r>
        <w:rPr>
          <w:sz w:val="24"/>
        </w:rPr>
        <w:t xml:space="preserve"> are to come to the July LNPA WG meeting prepared to determine if we will accept PIM 54 to be worked.</w:t>
      </w:r>
    </w:p>
    <w:p w14:paraId="4E32BB1B" w14:textId="77777777" w:rsidR="00BE2AC4" w:rsidRPr="007D5504" w:rsidRDefault="00BE2AC4" w:rsidP="00324D02">
      <w:pPr>
        <w:rPr>
          <w:sz w:val="24"/>
        </w:rPr>
      </w:pPr>
    </w:p>
    <w:p w14:paraId="0B40CB5C" w14:textId="77777777" w:rsidR="00A6066A" w:rsidRDefault="00324D02" w:rsidP="006D51A4">
      <w:pPr>
        <w:pStyle w:val="BodyText"/>
        <w:numPr>
          <w:ilvl w:val="0"/>
          <w:numId w:val="7"/>
        </w:numPr>
        <w:rPr>
          <w:szCs w:val="24"/>
        </w:rPr>
      </w:pPr>
      <w:r>
        <w:rPr>
          <w:szCs w:val="24"/>
        </w:rPr>
        <w:t>PIM 55 – Mubeen Saifullah, NeuStar Clearinghouse</w:t>
      </w:r>
      <w:r w:rsidR="002A33CA">
        <w:rPr>
          <w:szCs w:val="24"/>
        </w:rPr>
        <w:t>:</w:t>
      </w:r>
    </w:p>
    <w:p w14:paraId="4FC64603" w14:textId="77777777" w:rsidR="00A6066A" w:rsidRDefault="00A6066A" w:rsidP="004A0537">
      <w:pPr>
        <w:pStyle w:val="BodyText"/>
        <w:rPr>
          <w:szCs w:val="24"/>
        </w:rPr>
      </w:pPr>
    </w:p>
    <w:bookmarkStart w:id="14" w:name="_MON_1210773775"/>
    <w:bookmarkEnd w:id="14"/>
    <w:p w14:paraId="0478C6C6" w14:textId="77777777" w:rsidR="00324D02" w:rsidRDefault="00324D02" w:rsidP="004A0537">
      <w:pPr>
        <w:pStyle w:val="BodyText"/>
        <w:rPr>
          <w:szCs w:val="24"/>
        </w:rPr>
      </w:pPr>
      <w:r w:rsidRPr="000828FE">
        <w:object w:dxaOrig="1535" w:dyaOrig="991" w14:anchorId="0B2E9706">
          <v:shape id="_x0000_i1033" type="#_x0000_t75" style="width:77pt;height:49.45pt" o:ole="">
            <v:imagedata r:id="rId22" o:title=""/>
          </v:shape>
          <o:OLEObject Type="Embed" ProgID="Word.Document.8" ShapeID="_x0000_i1033" DrawAspect="Icon" ObjectID="_1740816755" r:id="rId23">
            <o:FieldCodes>\s</o:FieldCodes>
          </o:OLEObject>
        </w:object>
      </w:r>
    </w:p>
    <w:p w14:paraId="286E39B3" w14:textId="77777777" w:rsidR="00324D02" w:rsidRDefault="002A33CA" w:rsidP="006D51A4">
      <w:pPr>
        <w:numPr>
          <w:ilvl w:val="1"/>
          <w:numId w:val="7"/>
        </w:numPr>
        <w:rPr>
          <w:sz w:val="24"/>
        </w:rPr>
      </w:pPr>
      <w:r>
        <w:rPr>
          <w:sz w:val="24"/>
        </w:rPr>
        <w:t>Mubeen Saifullah, NeuStar Clearinghouse, teed up the attached PIM 55.  He stated that the Provider Initiated Activity (</w:t>
      </w:r>
      <w:r w:rsidR="00324D02">
        <w:rPr>
          <w:sz w:val="24"/>
        </w:rPr>
        <w:t>PIA</w:t>
      </w:r>
      <w:r>
        <w:rPr>
          <w:sz w:val="24"/>
        </w:rPr>
        <w:t>), described in the attached PIM,</w:t>
      </w:r>
      <w:r w:rsidR="00324D02">
        <w:rPr>
          <w:sz w:val="24"/>
        </w:rPr>
        <w:t xml:space="preserve"> has been arou</w:t>
      </w:r>
      <w:r>
        <w:rPr>
          <w:sz w:val="24"/>
        </w:rPr>
        <w:t>nd since before LSOG 9.  Some wireline LECs</w:t>
      </w:r>
      <w:r w:rsidR="00324D02">
        <w:rPr>
          <w:sz w:val="24"/>
        </w:rPr>
        <w:t xml:space="preserve"> implemented the function with their</w:t>
      </w:r>
      <w:r>
        <w:rPr>
          <w:sz w:val="24"/>
        </w:rPr>
        <w:t xml:space="preserve"> rollout of LSOG 9.  Mubeen stated</w:t>
      </w:r>
      <w:r w:rsidR="00324D02">
        <w:rPr>
          <w:sz w:val="24"/>
        </w:rPr>
        <w:t xml:space="preserve"> that the cancel function of </w:t>
      </w:r>
      <w:r>
        <w:rPr>
          <w:sz w:val="24"/>
        </w:rPr>
        <w:t xml:space="preserve">the </w:t>
      </w:r>
      <w:r w:rsidR="00324D02">
        <w:rPr>
          <w:sz w:val="24"/>
        </w:rPr>
        <w:t xml:space="preserve">PIA was </w:t>
      </w:r>
      <w:r>
        <w:rPr>
          <w:sz w:val="24"/>
        </w:rPr>
        <w:t xml:space="preserve">introduced with LSOG 7, but not </w:t>
      </w:r>
      <w:r w:rsidR="00324D02">
        <w:rPr>
          <w:sz w:val="24"/>
        </w:rPr>
        <w:t xml:space="preserve">implemented by </w:t>
      </w:r>
      <w:r>
        <w:rPr>
          <w:sz w:val="24"/>
        </w:rPr>
        <w:t xml:space="preserve">some wireline </w:t>
      </w:r>
      <w:r w:rsidR="00324D02">
        <w:rPr>
          <w:sz w:val="24"/>
        </w:rPr>
        <w:t xml:space="preserve">LECs </w:t>
      </w:r>
      <w:r>
        <w:rPr>
          <w:sz w:val="24"/>
        </w:rPr>
        <w:t>until</w:t>
      </w:r>
      <w:r w:rsidR="00324D02">
        <w:rPr>
          <w:sz w:val="24"/>
        </w:rPr>
        <w:t xml:space="preserve"> LSOG 9.</w:t>
      </w:r>
    </w:p>
    <w:p w14:paraId="27A86278" w14:textId="77777777" w:rsidR="00CA4073" w:rsidRDefault="00CA4073" w:rsidP="00CA4073">
      <w:pPr>
        <w:ind w:left="2160"/>
        <w:rPr>
          <w:sz w:val="24"/>
        </w:rPr>
      </w:pPr>
    </w:p>
    <w:p w14:paraId="01D6524A" w14:textId="77777777" w:rsidR="008313B9" w:rsidRDefault="00CA4073" w:rsidP="006D51A4">
      <w:pPr>
        <w:numPr>
          <w:ilvl w:val="1"/>
          <w:numId w:val="2"/>
        </w:numPr>
        <w:rPr>
          <w:sz w:val="24"/>
        </w:rPr>
      </w:pPr>
      <w:r>
        <w:rPr>
          <w:sz w:val="24"/>
        </w:rPr>
        <w:t>Mubeen stated</w:t>
      </w:r>
      <w:r w:rsidR="00324D02">
        <w:rPr>
          <w:sz w:val="24"/>
        </w:rPr>
        <w:t xml:space="preserve"> that the majority of these PIAs to cancel are due to the port not being activated</w:t>
      </w:r>
      <w:r>
        <w:rPr>
          <w:sz w:val="24"/>
        </w:rPr>
        <w:t xml:space="preserve"> on the due date.  Discussion ensued on the three</w:t>
      </w:r>
      <w:r w:rsidR="00324D02">
        <w:rPr>
          <w:sz w:val="24"/>
        </w:rPr>
        <w:t xml:space="preserve"> acceptable approaches </w:t>
      </w:r>
      <w:r>
        <w:rPr>
          <w:sz w:val="24"/>
        </w:rPr>
        <w:t xml:space="preserve">addressed in the NANC LNP Provisioning Flows </w:t>
      </w:r>
      <w:r w:rsidR="00324D02">
        <w:rPr>
          <w:sz w:val="24"/>
        </w:rPr>
        <w:t>fo</w:t>
      </w:r>
      <w:r>
        <w:rPr>
          <w:sz w:val="24"/>
        </w:rPr>
        <w:t xml:space="preserve">r preventing </w:t>
      </w:r>
      <w:r w:rsidR="00324D02">
        <w:rPr>
          <w:sz w:val="24"/>
        </w:rPr>
        <w:t>disconnect of the customer when the port is not activated</w:t>
      </w:r>
      <w:r>
        <w:rPr>
          <w:sz w:val="24"/>
        </w:rPr>
        <w:t xml:space="preserve"> on the due date</w:t>
      </w:r>
      <w:r w:rsidR="00324D02">
        <w:rPr>
          <w:sz w:val="24"/>
        </w:rPr>
        <w:t>.</w:t>
      </w:r>
    </w:p>
    <w:p w14:paraId="161F994F" w14:textId="77777777" w:rsidR="008313B9" w:rsidRPr="008313B9" w:rsidRDefault="008313B9" w:rsidP="006D51A4">
      <w:pPr>
        <w:numPr>
          <w:ilvl w:val="2"/>
          <w:numId w:val="2"/>
        </w:numPr>
        <w:rPr>
          <w:snapToGrid w:val="0"/>
          <w:sz w:val="24"/>
          <w:szCs w:val="24"/>
        </w:rPr>
      </w:pPr>
      <w:r>
        <w:rPr>
          <w:sz w:val="24"/>
          <w:szCs w:val="24"/>
        </w:rPr>
        <w:t>“</w:t>
      </w:r>
      <w:r w:rsidRPr="008313B9">
        <w:rPr>
          <w:sz w:val="24"/>
          <w:szCs w:val="24"/>
        </w:rPr>
        <w:t xml:space="preserve">The removal of these translations (1.) will not be done until the old Service Provider has evidence that the port has occurred, or (2.) will not be scheduled earlier than 11:59 PM one day after the due date, or (3.) </w:t>
      </w:r>
      <w:r w:rsidRPr="008313B9">
        <w:rPr>
          <w:snapToGrid w:val="0"/>
          <w:sz w:val="24"/>
          <w:szCs w:val="24"/>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r>
        <w:rPr>
          <w:snapToGrid w:val="0"/>
          <w:sz w:val="24"/>
          <w:szCs w:val="24"/>
        </w:rPr>
        <w:t>”</w:t>
      </w:r>
    </w:p>
    <w:p w14:paraId="5549168F" w14:textId="77777777" w:rsidR="008313B9" w:rsidRDefault="008313B9" w:rsidP="008313B9">
      <w:pPr>
        <w:ind w:left="1080"/>
        <w:rPr>
          <w:sz w:val="24"/>
        </w:rPr>
      </w:pPr>
    </w:p>
    <w:p w14:paraId="6FF358E4" w14:textId="77777777" w:rsidR="00324D02" w:rsidRDefault="00324D02" w:rsidP="006D51A4">
      <w:pPr>
        <w:numPr>
          <w:ilvl w:val="1"/>
          <w:numId w:val="2"/>
        </w:numPr>
        <w:rPr>
          <w:sz w:val="24"/>
        </w:rPr>
      </w:pPr>
      <w:r>
        <w:rPr>
          <w:sz w:val="24"/>
        </w:rPr>
        <w:t xml:space="preserve">It was asked why providers are not sending Sups to either cancel or change the due date if the port is not going to be activated on the due date. </w:t>
      </w:r>
      <w:r w:rsidR="008313B9">
        <w:rPr>
          <w:sz w:val="24"/>
        </w:rPr>
        <w:t>It was stated that i</w:t>
      </w:r>
      <w:r>
        <w:rPr>
          <w:sz w:val="24"/>
        </w:rPr>
        <w:t>n some cases, the wireline carrier issues a jeopardy on the due date, and because jeopardies are worked manually by wireless carriers, the wireless carrier does not have enough time to stop the port.</w:t>
      </w:r>
    </w:p>
    <w:p w14:paraId="65A62713" w14:textId="77777777" w:rsidR="00324D02" w:rsidRDefault="00324D02" w:rsidP="008313B9">
      <w:pPr>
        <w:ind w:left="2160"/>
        <w:rPr>
          <w:sz w:val="24"/>
        </w:rPr>
      </w:pPr>
    </w:p>
    <w:p w14:paraId="3235F4AC" w14:textId="77777777" w:rsidR="00324D02" w:rsidRDefault="00324D02" w:rsidP="006D51A4">
      <w:pPr>
        <w:numPr>
          <w:ilvl w:val="1"/>
          <w:numId w:val="2"/>
        </w:numPr>
        <w:rPr>
          <w:sz w:val="24"/>
        </w:rPr>
      </w:pPr>
      <w:r>
        <w:rPr>
          <w:sz w:val="24"/>
        </w:rPr>
        <w:t xml:space="preserve">PIM </w:t>
      </w:r>
      <w:r w:rsidR="008313B9">
        <w:rPr>
          <w:sz w:val="24"/>
        </w:rPr>
        <w:t xml:space="preserve">55 was </w:t>
      </w:r>
      <w:r>
        <w:rPr>
          <w:sz w:val="24"/>
        </w:rPr>
        <w:t>accepted</w:t>
      </w:r>
      <w:r w:rsidR="008313B9">
        <w:rPr>
          <w:sz w:val="24"/>
        </w:rPr>
        <w:t xml:space="preserve"> by the LNPA WG</w:t>
      </w:r>
      <w:r>
        <w:rPr>
          <w:sz w:val="24"/>
        </w:rPr>
        <w:t>.</w:t>
      </w:r>
    </w:p>
    <w:p w14:paraId="5AF82C1F" w14:textId="77777777" w:rsidR="008313B9" w:rsidRDefault="008313B9" w:rsidP="008313B9">
      <w:pPr>
        <w:rPr>
          <w:sz w:val="24"/>
        </w:rPr>
      </w:pPr>
    </w:p>
    <w:p w14:paraId="7DC17F98" w14:textId="77777777" w:rsidR="00324D02" w:rsidRDefault="008313B9" w:rsidP="006D51A4">
      <w:pPr>
        <w:numPr>
          <w:ilvl w:val="1"/>
          <w:numId w:val="2"/>
        </w:numPr>
        <w:rPr>
          <w:sz w:val="24"/>
        </w:rPr>
      </w:pPr>
      <w:r>
        <w:rPr>
          <w:sz w:val="24"/>
        </w:rPr>
        <w:t>A wireless carrier</w:t>
      </w:r>
      <w:r w:rsidR="00324D02">
        <w:rPr>
          <w:sz w:val="24"/>
        </w:rPr>
        <w:t xml:space="preserve"> proposed changing </w:t>
      </w:r>
      <w:r>
        <w:rPr>
          <w:sz w:val="24"/>
        </w:rPr>
        <w:t xml:space="preserve">the PIM’s </w:t>
      </w:r>
      <w:r w:rsidR="00324D02">
        <w:rPr>
          <w:sz w:val="24"/>
        </w:rPr>
        <w:t xml:space="preserve">problem statement to reflect </w:t>
      </w:r>
      <w:r>
        <w:rPr>
          <w:sz w:val="24"/>
        </w:rPr>
        <w:t xml:space="preserve">that this is applicable to </w:t>
      </w:r>
      <w:proofErr w:type="gramStart"/>
      <w:r>
        <w:rPr>
          <w:sz w:val="24"/>
        </w:rPr>
        <w:t>the majority of</w:t>
      </w:r>
      <w:proofErr w:type="gramEnd"/>
      <w:r>
        <w:rPr>
          <w:sz w:val="24"/>
        </w:rPr>
        <w:t xml:space="preserve"> </w:t>
      </w:r>
      <w:r w:rsidR="00324D02">
        <w:rPr>
          <w:sz w:val="24"/>
        </w:rPr>
        <w:t>wireless carri</w:t>
      </w:r>
      <w:r>
        <w:rPr>
          <w:sz w:val="24"/>
        </w:rPr>
        <w:t>ers rather than all wireless carriers</w:t>
      </w:r>
      <w:r w:rsidR="00324D02">
        <w:rPr>
          <w:sz w:val="24"/>
        </w:rPr>
        <w:t>.</w:t>
      </w:r>
    </w:p>
    <w:p w14:paraId="0348DE5D" w14:textId="77777777" w:rsidR="00324D02" w:rsidRDefault="00324D02" w:rsidP="008313B9">
      <w:pPr>
        <w:rPr>
          <w:sz w:val="24"/>
        </w:rPr>
      </w:pPr>
    </w:p>
    <w:p w14:paraId="1D8737E1" w14:textId="77777777" w:rsidR="008313B9" w:rsidRDefault="008313B9" w:rsidP="006D51A4">
      <w:pPr>
        <w:numPr>
          <w:ilvl w:val="1"/>
          <w:numId w:val="2"/>
        </w:numPr>
        <w:rPr>
          <w:sz w:val="24"/>
        </w:rPr>
      </w:pPr>
      <w:r>
        <w:rPr>
          <w:color w:val="FF0000"/>
          <w:sz w:val="24"/>
        </w:rPr>
        <w:t>Service Providers</w:t>
      </w:r>
      <w:r>
        <w:rPr>
          <w:sz w:val="24"/>
        </w:rPr>
        <w:t xml:space="preserve"> are to come to the July LNPA WG meeting prepared to determine the best course of action to take to work this PIM.</w:t>
      </w:r>
    </w:p>
    <w:p w14:paraId="67777F04" w14:textId="77777777" w:rsidR="008313B9" w:rsidRDefault="008313B9" w:rsidP="008313B9">
      <w:pPr>
        <w:rPr>
          <w:sz w:val="24"/>
        </w:rPr>
      </w:pPr>
    </w:p>
    <w:p w14:paraId="6E50A9D9" w14:textId="77777777" w:rsidR="00324D02" w:rsidRDefault="008313B9" w:rsidP="006D51A4">
      <w:pPr>
        <w:numPr>
          <w:ilvl w:val="1"/>
          <w:numId w:val="2"/>
        </w:numPr>
        <w:rPr>
          <w:sz w:val="24"/>
        </w:rPr>
      </w:pPr>
      <w:r>
        <w:rPr>
          <w:sz w:val="24"/>
        </w:rPr>
        <w:t xml:space="preserve">It was reported that the </w:t>
      </w:r>
      <w:r w:rsidR="00324D02">
        <w:rPr>
          <w:sz w:val="24"/>
        </w:rPr>
        <w:t>OBF Wireless Committee</w:t>
      </w:r>
      <w:r>
        <w:rPr>
          <w:sz w:val="24"/>
        </w:rPr>
        <w:t>’s Issue 3029 is addressing w</w:t>
      </w:r>
      <w:r w:rsidR="00324D02">
        <w:rPr>
          <w:sz w:val="24"/>
        </w:rPr>
        <w:t xml:space="preserve">ireless documentation for mapping between LSOG and WICIS.  </w:t>
      </w:r>
      <w:r w:rsidR="00323D0F">
        <w:rPr>
          <w:sz w:val="24"/>
        </w:rPr>
        <w:t>A w</w:t>
      </w:r>
      <w:r w:rsidR="00324D02">
        <w:rPr>
          <w:sz w:val="24"/>
        </w:rPr>
        <w:t xml:space="preserve">orking group will be formed and coordinated by Telcordia.  </w:t>
      </w:r>
      <w:r w:rsidR="00323D0F">
        <w:rPr>
          <w:sz w:val="24"/>
        </w:rPr>
        <w:t>The objective is t</w:t>
      </w:r>
      <w:r w:rsidR="00324D02">
        <w:rPr>
          <w:sz w:val="24"/>
        </w:rPr>
        <w:t>o document the differences and not to resolve</w:t>
      </w:r>
      <w:r w:rsidR="00323D0F">
        <w:rPr>
          <w:sz w:val="24"/>
        </w:rPr>
        <w:t xml:space="preserve"> them</w:t>
      </w:r>
      <w:r w:rsidR="00324D02">
        <w:rPr>
          <w:sz w:val="24"/>
        </w:rPr>
        <w:t>.  Differences to be worked will become new issues.  The guidelines are not necessarily the issue, but the differences in how they were implemented.</w:t>
      </w:r>
    </w:p>
    <w:p w14:paraId="2790CB2A" w14:textId="77777777" w:rsidR="00323D0F" w:rsidRDefault="00323D0F" w:rsidP="00323D0F">
      <w:pPr>
        <w:rPr>
          <w:sz w:val="24"/>
        </w:rPr>
      </w:pPr>
    </w:p>
    <w:p w14:paraId="78CEE24C" w14:textId="77777777" w:rsidR="00324D02" w:rsidRPr="007D5504" w:rsidRDefault="00323D0F" w:rsidP="006D51A4">
      <w:pPr>
        <w:numPr>
          <w:ilvl w:val="1"/>
          <w:numId w:val="2"/>
        </w:numPr>
        <w:rPr>
          <w:sz w:val="24"/>
        </w:rPr>
      </w:pPr>
      <w:r>
        <w:rPr>
          <w:sz w:val="24"/>
        </w:rPr>
        <w:t>It was</w:t>
      </w:r>
      <w:r w:rsidR="00324D02">
        <w:rPr>
          <w:sz w:val="24"/>
        </w:rPr>
        <w:t xml:space="preserve"> asked why the wireline industry is working on LSOG 13 when LSOG 9 has</w:t>
      </w:r>
      <w:r>
        <w:rPr>
          <w:sz w:val="24"/>
        </w:rPr>
        <w:t xml:space="preserve"> no</w:t>
      </w:r>
      <w:r w:rsidR="00324D02">
        <w:rPr>
          <w:sz w:val="24"/>
        </w:rPr>
        <w:t>t been total</w:t>
      </w:r>
      <w:r>
        <w:rPr>
          <w:sz w:val="24"/>
        </w:rPr>
        <w:t>ly rolled out yet.  It was stated that</w:t>
      </w:r>
      <w:r w:rsidR="00324D02">
        <w:rPr>
          <w:sz w:val="24"/>
        </w:rPr>
        <w:t xml:space="preserve"> it is mainly due to the need to spread out the changes over time </w:t>
      </w:r>
      <w:proofErr w:type="gramStart"/>
      <w:r w:rsidR="00324D02">
        <w:rPr>
          <w:sz w:val="24"/>
        </w:rPr>
        <w:t>in order to</w:t>
      </w:r>
      <w:proofErr w:type="gramEnd"/>
      <w:r w:rsidR="00324D02">
        <w:rPr>
          <w:sz w:val="24"/>
        </w:rPr>
        <w:t xml:space="preserve"> allow wireline providers time to support them.  </w:t>
      </w:r>
      <w:r>
        <w:rPr>
          <w:sz w:val="24"/>
        </w:rPr>
        <w:t>The industry a</w:t>
      </w:r>
      <w:r w:rsidR="00324D02">
        <w:rPr>
          <w:sz w:val="24"/>
        </w:rPr>
        <w:t xml:space="preserve">greement is to roll out an LSOG </w:t>
      </w:r>
      <w:r>
        <w:rPr>
          <w:sz w:val="24"/>
        </w:rPr>
        <w:t xml:space="preserve">version </w:t>
      </w:r>
      <w:r w:rsidR="00324D02">
        <w:rPr>
          <w:sz w:val="24"/>
        </w:rPr>
        <w:t>every 6 months.</w:t>
      </w:r>
    </w:p>
    <w:p w14:paraId="33CC67DC" w14:textId="77777777" w:rsidR="007F0BAB" w:rsidRDefault="007F0BAB" w:rsidP="004A0537">
      <w:pPr>
        <w:pStyle w:val="BodyText"/>
      </w:pPr>
    </w:p>
    <w:p w14:paraId="43B92C47" w14:textId="77777777" w:rsidR="004D4BE9" w:rsidRPr="004D4BE9" w:rsidRDefault="004D4BE9" w:rsidP="004D4BE9">
      <w:pPr>
        <w:ind w:left="2160" w:hanging="1905"/>
        <w:rPr>
          <w:sz w:val="24"/>
          <w:u w:val="single"/>
        </w:rPr>
      </w:pPr>
      <w:r w:rsidRPr="004D4BE9">
        <w:rPr>
          <w:sz w:val="24"/>
          <w:u w:val="single"/>
        </w:rPr>
        <w:t>Canceling a Pending Port</w:t>
      </w:r>
      <w:r>
        <w:rPr>
          <w:sz w:val="24"/>
          <w:u w:val="single"/>
        </w:rPr>
        <w:t xml:space="preserve"> of a Port for SPID Migration (</w:t>
      </w:r>
      <w:r w:rsidRPr="004D4BE9">
        <w:rPr>
          <w:sz w:val="24"/>
          <w:u w:val="single"/>
        </w:rPr>
        <w:t>NeuStar</w:t>
      </w:r>
      <w:r>
        <w:rPr>
          <w:sz w:val="24"/>
          <w:u w:val="single"/>
        </w:rPr>
        <w:t>):</w:t>
      </w:r>
      <w:r w:rsidRPr="004D4BE9">
        <w:rPr>
          <w:sz w:val="24"/>
          <w:u w:val="single"/>
        </w:rPr>
        <w:t xml:space="preserve"> </w:t>
      </w:r>
    </w:p>
    <w:p w14:paraId="31E472F7" w14:textId="77777777" w:rsidR="004D4BE9" w:rsidRDefault="004D4BE9" w:rsidP="004D4BE9">
      <w:pPr>
        <w:rPr>
          <w:sz w:val="24"/>
        </w:rPr>
      </w:pPr>
    </w:p>
    <w:p w14:paraId="241B3909" w14:textId="77777777" w:rsidR="00FE44E8" w:rsidRDefault="004D4BE9" w:rsidP="006D51A4">
      <w:pPr>
        <w:numPr>
          <w:ilvl w:val="0"/>
          <w:numId w:val="2"/>
        </w:numPr>
        <w:rPr>
          <w:sz w:val="24"/>
        </w:rPr>
      </w:pPr>
      <w:r>
        <w:rPr>
          <w:sz w:val="24"/>
        </w:rPr>
        <w:t xml:space="preserve">John Nakamura, NeuStar, described this </w:t>
      </w:r>
      <w:r w:rsidR="00FE44E8">
        <w:rPr>
          <w:sz w:val="24"/>
        </w:rPr>
        <w:t xml:space="preserve">discovered </w:t>
      </w:r>
      <w:r>
        <w:rPr>
          <w:sz w:val="24"/>
        </w:rPr>
        <w:t>issue</w:t>
      </w:r>
      <w:r w:rsidR="00FE44E8">
        <w:rPr>
          <w:sz w:val="24"/>
        </w:rPr>
        <w:t xml:space="preserve"> related to SPID migrations.</w:t>
      </w:r>
    </w:p>
    <w:p w14:paraId="4367D6CD" w14:textId="77777777" w:rsidR="00FE44E8" w:rsidRDefault="00FE44E8" w:rsidP="006D51A4">
      <w:pPr>
        <w:numPr>
          <w:ilvl w:val="1"/>
          <w:numId w:val="2"/>
        </w:numPr>
        <w:rPr>
          <w:sz w:val="24"/>
          <w:szCs w:val="24"/>
        </w:rPr>
      </w:pPr>
      <w:r w:rsidRPr="00FE44E8">
        <w:rPr>
          <w:color w:val="0000FF"/>
          <w:sz w:val="24"/>
          <w:szCs w:val="24"/>
        </w:rPr>
        <w:t>SV before SPID Migration:</w:t>
      </w:r>
      <w:r w:rsidRPr="00FE44E8">
        <w:rPr>
          <w:color w:val="000000"/>
          <w:sz w:val="24"/>
          <w:szCs w:val="24"/>
        </w:rPr>
        <w:t xml:space="preserve"> </w:t>
      </w:r>
    </w:p>
    <w:p w14:paraId="01A849B9" w14:textId="77777777" w:rsidR="00FE44E8" w:rsidRDefault="00FE44E8" w:rsidP="00FE44E8">
      <w:pPr>
        <w:ind w:left="1800" w:firstLine="360"/>
        <w:rPr>
          <w:sz w:val="24"/>
          <w:szCs w:val="24"/>
        </w:rPr>
      </w:pPr>
      <w:r w:rsidRPr="00FE44E8">
        <w:rPr>
          <w:color w:val="0000FF"/>
          <w:sz w:val="24"/>
          <w:szCs w:val="24"/>
          <w:u w:val="single"/>
        </w:rPr>
        <w:t xml:space="preserve"> OSP</w:t>
      </w:r>
      <w:r w:rsidRPr="00FE44E8">
        <w:rPr>
          <w:color w:val="0000FF"/>
          <w:sz w:val="24"/>
          <w:szCs w:val="24"/>
        </w:rPr>
        <w:t xml:space="preserve">    </w:t>
      </w:r>
      <w:r w:rsidRPr="00FE44E8">
        <w:rPr>
          <w:color w:val="0000FF"/>
          <w:sz w:val="24"/>
          <w:szCs w:val="24"/>
          <w:u w:val="single"/>
        </w:rPr>
        <w:t xml:space="preserve"> NSP</w:t>
      </w:r>
      <w:r w:rsidRPr="00FE44E8">
        <w:rPr>
          <w:color w:val="0000FF"/>
          <w:sz w:val="24"/>
          <w:szCs w:val="24"/>
        </w:rPr>
        <w:t xml:space="preserve">    </w:t>
      </w:r>
      <w:r w:rsidRPr="00FE44E8">
        <w:rPr>
          <w:color w:val="0000FF"/>
          <w:sz w:val="24"/>
          <w:szCs w:val="24"/>
          <w:u w:val="single"/>
        </w:rPr>
        <w:t xml:space="preserve"> Stat</w:t>
      </w:r>
      <w:r w:rsidRPr="00FE44E8">
        <w:rPr>
          <w:color w:val="000000"/>
          <w:sz w:val="24"/>
          <w:szCs w:val="24"/>
        </w:rPr>
        <w:t xml:space="preserve"> </w:t>
      </w:r>
    </w:p>
    <w:p w14:paraId="3020EA1E" w14:textId="77777777" w:rsidR="00FE44E8" w:rsidRDefault="00FE44E8" w:rsidP="00FE44E8">
      <w:pPr>
        <w:ind w:left="720" w:firstLine="720"/>
        <w:rPr>
          <w:sz w:val="24"/>
          <w:szCs w:val="24"/>
        </w:rPr>
      </w:pPr>
      <w:r>
        <w:rPr>
          <w:color w:val="0000FF"/>
          <w:sz w:val="24"/>
          <w:szCs w:val="24"/>
        </w:rPr>
        <w:t xml:space="preserve">SV1      Z          </w:t>
      </w:r>
      <w:r w:rsidRPr="00FE44E8">
        <w:rPr>
          <w:color w:val="0000FF"/>
          <w:sz w:val="24"/>
          <w:szCs w:val="24"/>
        </w:rPr>
        <w:t xml:space="preserve">A       </w:t>
      </w:r>
      <w:r>
        <w:rPr>
          <w:color w:val="0000FF"/>
          <w:sz w:val="24"/>
          <w:szCs w:val="24"/>
        </w:rPr>
        <w:tab/>
      </w:r>
      <w:r w:rsidRPr="00FE44E8">
        <w:rPr>
          <w:color w:val="0000FF"/>
          <w:sz w:val="24"/>
          <w:szCs w:val="24"/>
        </w:rPr>
        <w:t>active</w:t>
      </w:r>
      <w:r w:rsidRPr="00FE44E8">
        <w:rPr>
          <w:color w:val="000000"/>
          <w:sz w:val="24"/>
          <w:szCs w:val="24"/>
        </w:rPr>
        <w:t xml:space="preserve"> </w:t>
      </w:r>
    </w:p>
    <w:p w14:paraId="79C2454E" w14:textId="77777777" w:rsidR="00FE44E8" w:rsidRDefault="00FE44E8" w:rsidP="00FE44E8">
      <w:pPr>
        <w:ind w:left="720" w:firstLine="720"/>
        <w:rPr>
          <w:sz w:val="24"/>
          <w:szCs w:val="24"/>
        </w:rPr>
      </w:pPr>
      <w:r w:rsidRPr="00FE44E8">
        <w:rPr>
          <w:color w:val="0000FF"/>
          <w:sz w:val="24"/>
          <w:szCs w:val="24"/>
        </w:rPr>
        <w:t xml:space="preserve">SV2      A          C       </w:t>
      </w:r>
      <w:r>
        <w:rPr>
          <w:color w:val="0000FF"/>
          <w:sz w:val="24"/>
          <w:szCs w:val="24"/>
        </w:rPr>
        <w:tab/>
      </w:r>
      <w:r w:rsidRPr="00FE44E8">
        <w:rPr>
          <w:color w:val="0000FF"/>
          <w:sz w:val="24"/>
          <w:szCs w:val="24"/>
        </w:rPr>
        <w:t>pending</w:t>
      </w:r>
      <w:r w:rsidRPr="00FE44E8">
        <w:rPr>
          <w:color w:val="000000"/>
          <w:sz w:val="24"/>
          <w:szCs w:val="24"/>
        </w:rPr>
        <w:t xml:space="preserve"> </w:t>
      </w:r>
    </w:p>
    <w:p w14:paraId="2CE9C6D2" w14:textId="77777777" w:rsidR="00FE44E8" w:rsidRDefault="00FE44E8" w:rsidP="00FE44E8">
      <w:pPr>
        <w:ind w:left="720" w:firstLine="720"/>
        <w:rPr>
          <w:sz w:val="24"/>
          <w:szCs w:val="24"/>
        </w:rPr>
      </w:pPr>
    </w:p>
    <w:p w14:paraId="1F7D43BA" w14:textId="77777777" w:rsidR="00FE44E8" w:rsidRDefault="00FE44E8" w:rsidP="00FE44E8">
      <w:pPr>
        <w:ind w:left="720" w:firstLine="720"/>
        <w:rPr>
          <w:sz w:val="24"/>
          <w:szCs w:val="24"/>
        </w:rPr>
      </w:pPr>
      <w:r w:rsidRPr="00FE44E8">
        <w:rPr>
          <w:color w:val="0000FF"/>
          <w:sz w:val="24"/>
          <w:szCs w:val="24"/>
        </w:rPr>
        <w:t>SV after SPID Migration:   A --&gt; B</w:t>
      </w:r>
      <w:r w:rsidRPr="00FE44E8">
        <w:rPr>
          <w:color w:val="000000"/>
          <w:sz w:val="24"/>
          <w:szCs w:val="24"/>
        </w:rPr>
        <w:t xml:space="preserve"> </w:t>
      </w:r>
    </w:p>
    <w:p w14:paraId="239BFD74" w14:textId="77777777" w:rsidR="00FE44E8" w:rsidRDefault="00FE44E8" w:rsidP="00FE44E8">
      <w:pPr>
        <w:ind w:left="1440" w:firstLine="720"/>
        <w:rPr>
          <w:sz w:val="24"/>
          <w:szCs w:val="24"/>
        </w:rPr>
      </w:pPr>
      <w:r w:rsidRPr="00FE44E8">
        <w:rPr>
          <w:color w:val="000000"/>
          <w:sz w:val="24"/>
          <w:szCs w:val="24"/>
          <w:u w:val="single"/>
        </w:rPr>
        <w:t xml:space="preserve"> </w:t>
      </w:r>
      <w:r w:rsidRPr="00FE44E8">
        <w:rPr>
          <w:color w:val="0000FF"/>
          <w:sz w:val="24"/>
          <w:szCs w:val="24"/>
          <w:u w:val="single"/>
        </w:rPr>
        <w:t>OSP</w:t>
      </w:r>
      <w:r w:rsidRPr="00FE44E8">
        <w:rPr>
          <w:color w:val="0000FF"/>
          <w:sz w:val="24"/>
          <w:szCs w:val="24"/>
        </w:rPr>
        <w:t xml:space="preserve">    </w:t>
      </w:r>
      <w:r w:rsidRPr="00FE44E8">
        <w:rPr>
          <w:color w:val="000000"/>
          <w:sz w:val="24"/>
          <w:szCs w:val="24"/>
          <w:u w:val="single"/>
        </w:rPr>
        <w:t xml:space="preserve"> </w:t>
      </w:r>
      <w:r w:rsidRPr="00FE44E8">
        <w:rPr>
          <w:color w:val="0000FF"/>
          <w:sz w:val="24"/>
          <w:szCs w:val="24"/>
          <w:u w:val="single"/>
        </w:rPr>
        <w:t>NSP</w:t>
      </w:r>
      <w:r w:rsidRPr="00FE44E8">
        <w:rPr>
          <w:color w:val="0000FF"/>
          <w:sz w:val="24"/>
          <w:szCs w:val="24"/>
        </w:rPr>
        <w:t xml:space="preserve">    </w:t>
      </w:r>
      <w:r w:rsidRPr="00FE44E8">
        <w:rPr>
          <w:color w:val="000000"/>
          <w:sz w:val="24"/>
          <w:szCs w:val="24"/>
          <w:u w:val="single"/>
        </w:rPr>
        <w:t xml:space="preserve"> </w:t>
      </w:r>
      <w:r w:rsidRPr="00FE44E8">
        <w:rPr>
          <w:color w:val="0000FF"/>
          <w:sz w:val="24"/>
          <w:szCs w:val="24"/>
          <w:u w:val="single"/>
        </w:rPr>
        <w:t>Stat</w:t>
      </w:r>
      <w:r w:rsidRPr="00FE44E8">
        <w:rPr>
          <w:color w:val="000000"/>
          <w:sz w:val="24"/>
          <w:szCs w:val="24"/>
        </w:rPr>
        <w:t xml:space="preserve"> </w:t>
      </w:r>
    </w:p>
    <w:p w14:paraId="32571E89" w14:textId="77777777" w:rsidR="00FE44E8" w:rsidRDefault="00FE44E8" w:rsidP="00FE44E8">
      <w:pPr>
        <w:ind w:left="720" w:firstLine="720"/>
        <w:rPr>
          <w:sz w:val="24"/>
          <w:szCs w:val="24"/>
        </w:rPr>
      </w:pPr>
      <w:r>
        <w:rPr>
          <w:color w:val="0000FF"/>
          <w:sz w:val="24"/>
          <w:szCs w:val="24"/>
        </w:rPr>
        <w:t xml:space="preserve">SV1      Z           B      </w:t>
      </w:r>
      <w:r>
        <w:rPr>
          <w:color w:val="0000FF"/>
          <w:sz w:val="24"/>
          <w:szCs w:val="24"/>
        </w:rPr>
        <w:tab/>
      </w:r>
      <w:r w:rsidRPr="00FE44E8">
        <w:rPr>
          <w:color w:val="0000FF"/>
          <w:sz w:val="24"/>
          <w:szCs w:val="24"/>
        </w:rPr>
        <w:t>active</w:t>
      </w:r>
      <w:r w:rsidRPr="00FE44E8">
        <w:rPr>
          <w:color w:val="000000"/>
          <w:sz w:val="24"/>
          <w:szCs w:val="24"/>
        </w:rPr>
        <w:t xml:space="preserve"> </w:t>
      </w:r>
    </w:p>
    <w:p w14:paraId="533B4DFA" w14:textId="77777777" w:rsidR="00FE44E8" w:rsidRDefault="00FE44E8" w:rsidP="00FE44E8">
      <w:pPr>
        <w:ind w:left="720" w:firstLine="720"/>
        <w:rPr>
          <w:sz w:val="24"/>
          <w:szCs w:val="24"/>
        </w:rPr>
      </w:pPr>
      <w:r w:rsidRPr="00FE44E8">
        <w:rPr>
          <w:color w:val="0000FF"/>
          <w:sz w:val="24"/>
          <w:szCs w:val="24"/>
        </w:rPr>
        <w:t xml:space="preserve">SV2      A          C       </w:t>
      </w:r>
      <w:r>
        <w:rPr>
          <w:color w:val="0000FF"/>
          <w:sz w:val="24"/>
          <w:szCs w:val="24"/>
        </w:rPr>
        <w:tab/>
      </w:r>
      <w:r w:rsidRPr="00FE44E8">
        <w:rPr>
          <w:color w:val="0000FF"/>
          <w:sz w:val="24"/>
          <w:szCs w:val="24"/>
        </w:rPr>
        <w:t>pending</w:t>
      </w:r>
      <w:r w:rsidRPr="00FE44E8">
        <w:rPr>
          <w:color w:val="000000"/>
          <w:sz w:val="24"/>
          <w:szCs w:val="24"/>
        </w:rPr>
        <w:t xml:space="preserve"> </w:t>
      </w:r>
    </w:p>
    <w:p w14:paraId="252B525A" w14:textId="77777777" w:rsidR="00FE44E8" w:rsidRDefault="00FE44E8" w:rsidP="00FE44E8">
      <w:pPr>
        <w:ind w:left="720" w:firstLine="720"/>
        <w:rPr>
          <w:sz w:val="24"/>
          <w:szCs w:val="24"/>
        </w:rPr>
      </w:pPr>
    </w:p>
    <w:p w14:paraId="0A031B11" w14:textId="77777777" w:rsidR="00FE44E8" w:rsidRPr="00FE44E8" w:rsidRDefault="00FE44E8" w:rsidP="00FE44E8">
      <w:pPr>
        <w:ind w:left="1440"/>
        <w:rPr>
          <w:sz w:val="24"/>
          <w:szCs w:val="24"/>
        </w:rPr>
      </w:pPr>
      <w:r w:rsidRPr="00FE44E8">
        <w:rPr>
          <w:color w:val="0000FF"/>
          <w:sz w:val="24"/>
          <w:szCs w:val="24"/>
        </w:rPr>
        <w:t>Based on current NPAC requirements, SV1 has NSP value changed from A to B.  SV2 has no change.</w:t>
      </w:r>
      <w:r>
        <w:rPr>
          <w:color w:val="000000"/>
          <w:sz w:val="24"/>
          <w:szCs w:val="24"/>
        </w:rPr>
        <w:t xml:space="preserve">  </w:t>
      </w:r>
      <w:r w:rsidRPr="00FE44E8">
        <w:rPr>
          <w:color w:val="0000FF"/>
          <w:sz w:val="24"/>
          <w:szCs w:val="24"/>
        </w:rPr>
        <w:t>SV2 be</w:t>
      </w:r>
      <w:r>
        <w:rPr>
          <w:color w:val="0000FF"/>
          <w:sz w:val="24"/>
          <w:szCs w:val="24"/>
        </w:rPr>
        <w:t>comes a problem because now it is</w:t>
      </w:r>
      <w:r w:rsidRPr="00FE44E8">
        <w:rPr>
          <w:color w:val="0000FF"/>
          <w:sz w:val="24"/>
          <w:szCs w:val="24"/>
        </w:rPr>
        <w:t xml:space="preserve"> out of sync with SV1.  NPAC requirements require the OSP (A) on a subsequent port (SV2) to be equal to the NSP (B) on the current active port (SV1).</w:t>
      </w:r>
    </w:p>
    <w:p w14:paraId="343222E2" w14:textId="77777777" w:rsidR="00FE44E8" w:rsidRDefault="00FE44E8" w:rsidP="00FE44E8">
      <w:pPr>
        <w:rPr>
          <w:sz w:val="24"/>
          <w:szCs w:val="24"/>
        </w:rPr>
      </w:pPr>
    </w:p>
    <w:p w14:paraId="02710B6D" w14:textId="77777777" w:rsidR="00FE44E8" w:rsidRDefault="00FE44E8" w:rsidP="006D51A4">
      <w:pPr>
        <w:numPr>
          <w:ilvl w:val="1"/>
          <w:numId w:val="2"/>
        </w:numPr>
        <w:rPr>
          <w:sz w:val="24"/>
          <w:szCs w:val="24"/>
        </w:rPr>
      </w:pPr>
      <w:r>
        <w:rPr>
          <w:bCs/>
          <w:iCs/>
          <w:color w:val="000000"/>
          <w:sz w:val="24"/>
          <w:szCs w:val="24"/>
        </w:rPr>
        <w:t>It was agreed that the applicable requirement in the FRS will be revised to add, “</w:t>
      </w:r>
      <w:r>
        <w:rPr>
          <w:b/>
          <w:bCs/>
          <w:i/>
          <w:iCs/>
          <w:color w:val="000000"/>
          <w:sz w:val="24"/>
          <w:szCs w:val="24"/>
        </w:rPr>
        <w:t>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r>
        <w:rPr>
          <w:bCs/>
          <w:iCs/>
          <w:color w:val="000000"/>
          <w:sz w:val="24"/>
          <w:szCs w:val="24"/>
        </w:rPr>
        <w:t>”</w:t>
      </w:r>
    </w:p>
    <w:p w14:paraId="45D00779" w14:textId="77777777" w:rsidR="00FE44E8" w:rsidRDefault="00FE44E8" w:rsidP="00FE44E8">
      <w:pPr>
        <w:rPr>
          <w:sz w:val="24"/>
          <w:szCs w:val="24"/>
        </w:rPr>
      </w:pPr>
    </w:p>
    <w:p w14:paraId="58BB939C" w14:textId="77777777" w:rsidR="004D4BE9" w:rsidRPr="007D5504" w:rsidRDefault="00FE44E8" w:rsidP="006D51A4">
      <w:pPr>
        <w:numPr>
          <w:ilvl w:val="1"/>
          <w:numId w:val="2"/>
        </w:numPr>
        <w:rPr>
          <w:sz w:val="24"/>
        </w:rPr>
      </w:pPr>
      <w:r>
        <w:rPr>
          <w:sz w:val="24"/>
        </w:rPr>
        <w:t>This will be effective with Point Release</w:t>
      </w:r>
      <w:r w:rsidR="004D4BE9">
        <w:rPr>
          <w:sz w:val="24"/>
        </w:rPr>
        <w:t xml:space="preserve"> 3.3.1.</w:t>
      </w:r>
    </w:p>
    <w:p w14:paraId="2F1AB2AC" w14:textId="77777777" w:rsidR="004D4BE9" w:rsidRDefault="004D4BE9" w:rsidP="004D4BE9">
      <w:pPr>
        <w:rPr>
          <w:sz w:val="24"/>
        </w:rPr>
      </w:pPr>
    </w:p>
    <w:p w14:paraId="2E4532A6" w14:textId="77777777" w:rsidR="00FE44E8" w:rsidRPr="00FE44E8" w:rsidRDefault="00FE44E8" w:rsidP="004D4BE9">
      <w:pPr>
        <w:rPr>
          <w:sz w:val="24"/>
          <w:u w:val="single"/>
        </w:rPr>
      </w:pPr>
      <w:r>
        <w:rPr>
          <w:sz w:val="24"/>
          <w:u w:val="single"/>
        </w:rPr>
        <w:t>NANC 399 Test Cases (NeuStar):</w:t>
      </w:r>
    </w:p>
    <w:p w14:paraId="2FB4CCB1" w14:textId="77777777" w:rsidR="00FE44E8" w:rsidRDefault="00FE44E8" w:rsidP="00FE44E8">
      <w:pPr>
        <w:rPr>
          <w:sz w:val="24"/>
        </w:rPr>
      </w:pPr>
    </w:p>
    <w:p w14:paraId="461D7998" w14:textId="77777777" w:rsidR="004D4BE9" w:rsidRDefault="00FE44E8" w:rsidP="006D51A4">
      <w:pPr>
        <w:numPr>
          <w:ilvl w:val="0"/>
          <w:numId w:val="2"/>
        </w:numPr>
        <w:rPr>
          <w:sz w:val="24"/>
        </w:rPr>
      </w:pPr>
      <w:r>
        <w:rPr>
          <w:sz w:val="24"/>
        </w:rPr>
        <w:t xml:space="preserve">NeuStar reported that the NANC </w:t>
      </w:r>
      <w:r w:rsidR="004D4BE9">
        <w:rPr>
          <w:sz w:val="24"/>
        </w:rPr>
        <w:t xml:space="preserve">399 ITP test cases have been sent out.  </w:t>
      </w:r>
      <w:r>
        <w:rPr>
          <w:sz w:val="24"/>
        </w:rPr>
        <w:t>The ITP t</w:t>
      </w:r>
      <w:r w:rsidR="004D4BE9">
        <w:rPr>
          <w:sz w:val="24"/>
        </w:rPr>
        <w:t>est environment will be available on 6/26.  Vendors should complete the normal forms to sign up.  There is no defined window for ITP or the subsequent provider turn-up testing.</w:t>
      </w:r>
    </w:p>
    <w:p w14:paraId="73CE8725" w14:textId="77777777" w:rsidR="004D4BE9" w:rsidRDefault="004D4BE9" w:rsidP="004A0537">
      <w:pPr>
        <w:pStyle w:val="BodyText"/>
      </w:pPr>
    </w:p>
    <w:p w14:paraId="552388DB" w14:textId="77777777" w:rsidR="00CC6AD8" w:rsidRPr="00CC6AD8" w:rsidRDefault="00CC6AD8" w:rsidP="00CC6AD8">
      <w:pPr>
        <w:rPr>
          <w:sz w:val="24"/>
          <w:u w:val="single"/>
        </w:rPr>
      </w:pPr>
      <w:r w:rsidRPr="00CC6AD8">
        <w:rPr>
          <w:sz w:val="24"/>
          <w:u w:val="single"/>
        </w:rPr>
        <w:t>Schedul</w:t>
      </w:r>
      <w:r>
        <w:rPr>
          <w:sz w:val="24"/>
          <w:u w:val="single"/>
        </w:rPr>
        <w:t>e of NPAC Point Release 3.3.1 (</w:t>
      </w:r>
      <w:r w:rsidRPr="00CC6AD8">
        <w:rPr>
          <w:sz w:val="24"/>
          <w:u w:val="single"/>
        </w:rPr>
        <w:t>NeuStar</w:t>
      </w:r>
      <w:r>
        <w:rPr>
          <w:sz w:val="24"/>
          <w:u w:val="single"/>
        </w:rPr>
        <w:t>):</w:t>
      </w:r>
      <w:r w:rsidRPr="00CC6AD8">
        <w:rPr>
          <w:sz w:val="24"/>
          <w:u w:val="single"/>
        </w:rPr>
        <w:t xml:space="preserve"> </w:t>
      </w:r>
    </w:p>
    <w:p w14:paraId="4F46217C" w14:textId="77777777" w:rsidR="00CC6AD8" w:rsidRDefault="00CC6AD8" w:rsidP="00CC6AD8">
      <w:pPr>
        <w:rPr>
          <w:sz w:val="24"/>
        </w:rPr>
      </w:pPr>
    </w:p>
    <w:p w14:paraId="507F696A" w14:textId="77777777" w:rsidR="00CC6AD8" w:rsidRPr="007D5504" w:rsidRDefault="00CC6AD8" w:rsidP="006D51A4">
      <w:pPr>
        <w:numPr>
          <w:ilvl w:val="0"/>
          <w:numId w:val="2"/>
        </w:numPr>
        <w:rPr>
          <w:sz w:val="24"/>
        </w:rPr>
      </w:pPr>
      <w:r>
        <w:rPr>
          <w:sz w:val="24"/>
        </w:rPr>
        <w:t>This item will be discussed at the July LNPA WG meeting.</w:t>
      </w:r>
    </w:p>
    <w:p w14:paraId="42FBD968" w14:textId="77777777" w:rsidR="00CC6AD8" w:rsidRDefault="00CC6AD8" w:rsidP="00CC6AD8">
      <w:pPr>
        <w:rPr>
          <w:sz w:val="24"/>
        </w:rPr>
      </w:pPr>
    </w:p>
    <w:p w14:paraId="52D032B6" w14:textId="77777777" w:rsidR="00CC6AD8" w:rsidRPr="00CC6AD8" w:rsidRDefault="00CC6AD8" w:rsidP="00CC6AD8">
      <w:pPr>
        <w:rPr>
          <w:sz w:val="24"/>
          <w:u w:val="single"/>
        </w:rPr>
      </w:pPr>
      <w:r w:rsidRPr="00CC6AD8">
        <w:rPr>
          <w:sz w:val="24"/>
          <w:u w:val="single"/>
        </w:rPr>
        <w:t>NANC 408</w:t>
      </w:r>
      <w:r>
        <w:rPr>
          <w:sz w:val="24"/>
          <w:u w:val="single"/>
        </w:rPr>
        <w:t xml:space="preserve"> Discussion (</w:t>
      </w:r>
      <w:r w:rsidRPr="00CC6AD8">
        <w:rPr>
          <w:sz w:val="24"/>
          <w:u w:val="single"/>
        </w:rPr>
        <w:t>NeuStar</w:t>
      </w:r>
      <w:r>
        <w:rPr>
          <w:sz w:val="24"/>
          <w:u w:val="single"/>
        </w:rPr>
        <w:t>):</w:t>
      </w:r>
      <w:r w:rsidRPr="00CC6AD8">
        <w:rPr>
          <w:sz w:val="24"/>
          <w:u w:val="single"/>
        </w:rPr>
        <w:t xml:space="preserve"> </w:t>
      </w:r>
    </w:p>
    <w:bookmarkStart w:id="15" w:name="_MON_1192953339"/>
    <w:bookmarkStart w:id="16" w:name="_MON_1192953344"/>
    <w:bookmarkStart w:id="17" w:name="_MON_1202639848"/>
    <w:bookmarkEnd w:id="15"/>
    <w:bookmarkEnd w:id="16"/>
    <w:bookmarkEnd w:id="17"/>
    <w:p w14:paraId="18365858" w14:textId="77777777" w:rsidR="00CC6AD8" w:rsidRDefault="00CC6AD8" w:rsidP="00CC6AD8">
      <w:pPr>
        <w:rPr>
          <w:sz w:val="24"/>
        </w:rPr>
      </w:pPr>
      <w:r w:rsidRPr="00DB7E7C">
        <w:rPr>
          <w:b/>
        </w:rPr>
        <w:object w:dxaOrig="1535" w:dyaOrig="991" w14:anchorId="68FCDCD2">
          <v:shape id="_x0000_i1034" type="#_x0000_t75" style="width:77pt;height:49.45pt" o:ole="">
            <v:imagedata r:id="rId24" o:title=""/>
          </v:shape>
          <o:OLEObject Type="Embed" ProgID="Word.Document.8" ShapeID="_x0000_i1034" DrawAspect="Icon" ObjectID="_1740816756" r:id="rId25">
            <o:FieldCodes>\s</o:FieldCodes>
          </o:OLEObject>
        </w:object>
      </w:r>
    </w:p>
    <w:p w14:paraId="77E7F4D8" w14:textId="77777777" w:rsidR="00CC6AD8" w:rsidRDefault="00CC6AD8" w:rsidP="00CC6AD8">
      <w:pPr>
        <w:rPr>
          <w:sz w:val="24"/>
        </w:rPr>
      </w:pPr>
    </w:p>
    <w:p w14:paraId="18A8EA3F" w14:textId="77777777" w:rsidR="00CC6AD8" w:rsidRPr="007D5504" w:rsidRDefault="00CC6AD8" w:rsidP="006D51A4">
      <w:pPr>
        <w:numPr>
          <w:ilvl w:val="0"/>
          <w:numId w:val="2"/>
        </w:numPr>
        <w:rPr>
          <w:sz w:val="24"/>
        </w:rPr>
      </w:pPr>
      <w:r>
        <w:rPr>
          <w:sz w:val="24"/>
        </w:rPr>
        <w:t>This item will be discussed at the July LNPA WG meeting.</w:t>
      </w:r>
    </w:p>
    <w:p w14:paraId="232F3C65" w14:textId="77777777" w:rsidR="00CC6AD8" w:rsidRPr="007D5504" w:rsidRDefault="00CC6AD8" w:rsidP="00CC6AD8">
      <w:pPr>
        <w:autoSpaceDE w:val="0"/>
        <w:autoSpaceDN w:val="0"/>
        <w:adjustRightInd w:val="0"/>
        <w:spacing w:line="240" w:lineRule="atLeast"/>
        <w:rPr>
          <w:color w:val="000000"/>
          <w:sz w:val="24"/>
          <w:szCs w:val="24"/>
        </w:rPr>
      </w:pPr>
    </w:p>
    <w:p w14:paraId="662CA96F" w14:textId="77777777" w:rsidR="00CC6AD8" w:rsidRPr="00CC6AD8" w:rsidRDefault="00CC6AD8" w:rsidP="00CC6AD8">
      <w:pPr>
        <w:autoSpaceDE w:val="0"/>
        <w:autoSpaceDN w:val="0"/>
        <w:adjustRightInd w:val="0"/>
        <w:spacing w:line="240" w:lineRule="atLeast"/>
        <w:rPr>
          <w:rFonts w:cs="Arial"/>
          <w:color w:val="000000"/>
          <w:sz w:val="24"/>
          <w:szCs w:val="24"/>
          <w:u w:val="single"/>
        </w:rPr>
      </w:pPr>
      <w:r w:rsidRPr="00CC6AD8">
        <w:rPr>
          <w:rFonts w:cs="Arial"/>
          <w:color w:val="000000"/>
          <w:sz w:val="24"/>
          <w:szCs w:val="24"/>
          <w:u w:val="single"/>
        </w:rPr>
        <w:t>Review Requiremen</w:t>
      </w:r>
      <w:r>
        <w:rPr>
          <w:rFonts w:cs="Arial"/>
          <w:color w:val="000000"/>
          <w:sz w:val="24"/>
          <w:szCs w:val="24"/>
          <w:u w:val="single"/>
        </w:rPr>
        <w:t>ts for Accepted Change Orders (</w:t>
      </w:r>
      <w:r w:rsidRPr="00CC6AD8">
        <w:rPr>
          <w:rFonts w:cs="Arial"/>
          <w:color w:val="000000"/>
          <w:sz w:val="24"/>
          <w:szCs w:val="24"/>
          <w:u w:val="single"/>
        </w:rPr>
        <w:t>NeuStar</w:t>
      </w:r>
      <w:r>
        <w:rPr>
          <w:rFonts w:cs="Arial"/>
          <w:color w:val="000000"/>
          <w:sz w:val="24"/>
          <w:szCs w:val="24"/>
          <w:u w:val="single"/>
        </w:rPr>
        <w:t>):</w:t>
      </w:r>
      <w:r w:rsidRPr="00CC6AD8">
        <w:rPr>
          <w:rFonts w:cs="Arial"/>
          <w:color w:val="000000"/>
          <w:sz w:val="24"/>
          <w:szCs w:val="24"/>
          <w:u w:val="single"/>
        </w:rPr>
        <w:t xml:space="preserve"> </w:t>
      </w:r>
    </w:p>
    <w:p w14:paraId="5A6CF0BF" w14:textId="77777777" w:rsidR="00CC6AD8" w:rsidRDefault="00CC6AD8" w:rsidP="00CC6AD8">
      <w:pPr>
        <w:rPr>
          <w:sz w:val="24"/>
        </w:rPr>
      </w:pPr>
    </w:p>
    <w:p w14:paraId="205CBF08" w14:textId="77777777" w:rsidR="00CC6AD8" w:rsidRPr="007D5504" w:rsidRDefault="00CC6AD8" w:rsidP="006D51A4">
      <w:pPr>
        <w:numPr>
          <w:ilvl w:val="0"/>
          <w:numId w:val="2"/>
        </w:numPr>
        <w:rPr>
          <w:sz w:val="24"/>
        </w:rPr>
      </w:pPr>
      <w:r>
        <w:rPr>
          <w:sz w:val="24"/>
        </w:rPr>
        <w:t>This item will be discussed at the July LNPA WG meeting.</w:t>
      </w:r>
    </w:p>
    <w:p w14:paraId="2119621C" w14:textId="77777777" w:rsidR="00CC6AD8" w:rsidRPr="00CC6AD8" w:rsidRDefault="00CC6AD8" w:rsidP="00CC6AD8">
      <w:pPr>
        <w:rPr>
          <w:sz w:val="24"/>
        </w:rPr>
      </w:pPr>
    </w:p>
    <w:p w14:paraId="65D59B98" w14:textId="77777777" w:rsidR="004D4BE9" w:rsidRPr="00D31443" w:rsidRDefault="00D31443" w:rsidP="004A0537">
      <w:pPr>
        <w:pStyle w:val="BodyText"/>
        <w:rPr>
          <w:u w:val="single"/>
        </w:rPr>
      </w:pPr>
      <w:r>
        <w:rPr>
          <w:u w:val="single"/>
        </w:rPr>
        <w:t>New Business:</w:t>
      </w:r>
    </w:p>
    <w:p w14:paraId="4EBF04BD" w14:textId="77777777" w:rsidR="004A0537" w:rsidRDefault="004A0537" w:rsidP="004A0537">
      <w:pPr>
        <w:pStyle w:val="BodyText"/>
      </w:pPr>
    </w:p>
    <w:p w14:paraId="11259D6E" w14:textId="77777777" w:rsidR="000C4C4E" w:rsidRPr="00C75056" w:rsidRDefault="000C4C4E" w:rsidP="006D51A4">
      <w:pPr>
        <w:pStyle w:val="BodyText"/>
        <w:numPr>
          <w:ilvl w:val="0"/>
          <w:numId w:val="2"/>
        </w:numPr>
      </w:pPr>
      <w:r>
        <w:t xml:space="preserve">Gary Sacra, Verizon, described an issue where a provider was allocated 37 pooled 1K blocks associated to an LRN within an NPA-NXX that was not yet effective in the network.  </w:t>
      </w:r>
      <w:r>
        <w:rPr>
          <w:color w:val="FF0000"/>
        </w:rPr>
        <w:t xml:space="preserve">Shannon </w:t>
      </w:r>
      <w:r w:rsidRPr="002219F2">
        <w:rPr>
          <w:color w:val="FF0000"/>
        </w:rPr>
        <w:t>Sevigny, NeuStar Pooling</w:t>
      </w:r>
      <w:r>
        <w:t>, will check to see if it is feasible to verify that the NPA-NXX of the LRN has reached its effective date in the network before a block associated with it is allocated to a provider.  This will be discussed further at the July LNPA WG meeting.</w:t>
      </w:r>
    </w:p>
    <w:p w14:paraId="6B154579" w14:textId="77777777" w:rsidR="00D31443" w:rsidRDefault="00D31443" w:rsidP="000C4C4E">
      <w:pPr>
        <w:rPr>
          <w:b/>
          <w:sz w:val="24"/>
        </w:rPr>
      </w:pPr>
    </w:p>
    <w:p w14:paraId="2A171BDC" w14:textId="77777777" w:rsidR="00485D24" w:rsidRDefault="000C4C4E" w:rsidP="006D51A4">
      <w:pPr>
        <w:numPr>
          <w:ilvl w:val="0"/>
          <w:numId w:val="2"/>
        </w:numPr>
        <w:rPr>
          <w:sz w:val="24"/>
        </w:rPr>
      </w:pPr>
      <w:r>
        <w:rPr>
          <w:sz w:val="24"/>
        </w:rPr>
        <w:t xml:space="preserve">Gary Sacra, Verizon, questioned the need to continue requiring the time portion of the due date/time </w:t>
      </w:r>
      <w:r w:rsidR="00485D24">
        <w:rPr>
          <w:sz w:val="24"/>
        </w:rPr>
        <w:t xml:space="preserve">to match on the Create and concurrence messages if service providers are using midnight as a default (00:00:00).  </w:t>
      </w:r>
      <w:r w:rsidR="00485D24">
        <w:rPr>
          <w:color w:val="FF0000"/>
          <w:sz w:val="24"/>
        </w:rPr>
        <w:t>Service Providers</w:t>
      </w:r>
      <w:r w:rsidR="00485D24">
        <w:rPr>
          <w:sz w:val="24"/>
        </w:rPr>
        <w:t xml:space="preserve"> are to determine if their local systems place anything other than </w:t>
      </w:r>
      <w:smartTag w:uri="urn:schemas-microsoft-com:office:smarttags" w:element="time">
        <w:smartTagPr>
          <w:attr w:name="Hour" w:val="0"/>
          <w:attr w:name="Minute" w:val="0"/>
        </w:smartTagPr>
        <w:r w:rsidR="00485D24">
          <w:rPr>
            <w:sz w:val="24"/>
          </w:rPr>
          <w:t>midnight</w:t>
        </w:r>
      </w:smartTag>
      <w:r w:rsidR="00485D24">
        <w:rPr>
          <w:sz w:val="24"/>
        </w:rPr>
        <w:t xml:space="preserve"> (</w:t>
      </w:r>
      <w:smartTag w:uri="urn:schemas-microsoft-com:office:smarttags" w:element="time">
        <w:smartTagPr>
          <w:attr w:name="Hour" w:val="0"/>
          <w:attr w:name="Minute" w:val="0"/>
        </w:smartTagPr>
        <w:r w:rsidR="00485D24">
          <w:rPr>
            <w:sz w:val="24"/>
          </w:rPr>
          <w:t>00:00:00</w:t>
        </w:r>
      </w:smartTag>
      <w:r w:rsidR="00485D24">
        <w:rPr>
          <w:sz w:val="24"/>
        </w:rPr>
        <w:t>) for the Due Date/Time in their SV Create messages, and, if so, on what types of ports, e.g., intermodal, intramodal, and come to the July meeting prepared to provide feedback.</w:t>
      </w:r>
    </w:p>
    <w:p w14:paraId="539485C9" w14:textId="77777777" w:rsidR="000C4C4E" w:rsidRPr="000C4C4E" w:rsidRDefault="000C4C4E" w:rsidP="00485D24">
      <w:pPr>
        <w:rPr>
          <w:b/>
          <w:sz w:val="24"/>
        </w:rPr>
      </w:pPr>
    </w:p>
    <w:p w14:paraId="03DD5913" w14:textId="77777777" w:rsidR="00D31443" w:rsidRPr="00485D24" w:rsidRDefault="00485D24" w:rsidP="006D51A4">
      <w:pPr>
        <w:numPr>
          <w:ilvl w:val="0"/>
          <w:numId w:val="2"/>
        </w:numPr>
        <w:rPr>
          <w:sz w:val="24"/>
        </w:rPr>
      </w:pPr>
      <w:r>
        <w:rPr>
          <w:sz w:val="24"/>
        </w:rPr>
        <w:t>Dave Cochran,</w:t>
      </w:r>
      <w:r w:rsidR="00C127EE">
        <w:rPr>
          <w:sz w:val="24"/>
        </w:rPr>
        <w:t xml:space="preserve"> BellSouth, asked if NeuStar had</w:t>
      </w:r>
      <w:r>
        <w:rPr>
          <w:sz w:val="24"/>
        </w:rPr>
        <w:t xml:space="preserve"> verified the /1, /2, /3 SP type indicators in </w:t>
      </w:r>
      <w:r w:rsidR="00C127EE">
        <w:rPr>
          <w:sz w:val="24"/>
        </w:rPr>
        <w:t>the SP name with the SP type identifiers</w:t>
      </w:r>
      <w:r>
        <w:rPr>
          <w:sz w:val="24"/>
        </w:rPr>
        <w:t xml:space="preserve"> implemented with NANC </w:t>
      </w:r>
      <w:r w:rsidR="00C127EE">
        <w:rPr>
          <w:sz w:val="24"/>
        </w:rPr>
        <w:t>357.  NeuStar responded in the affirmative.</w:t>
      </w:r>
    </w:p>
    <w:p w14:paraId="5DAED457" w14:textId="77777777" w:rsidR="00D31443" w:rsidRPr="007D5504" w:rsidRDefault="00D31443" w:rsidP="00C127EE">
      <w:pPr>
        <w:rPr>
          <w:b/>
          <w:sz w:val="24"/>
        </w:rPr>
      </w:pPr>
    </w:p>
    <w:p w14:paraId="1714EE6A" w14:textId="77777777" w:rsidR="00E732C1" w:rsidRPr="00E223A7" w:rsidRDefault="00E732C1" w:rsidP="00EA11A9">
      <w:pPr>
        <w:rPr>
          <w:sz w:val="24"/>
        </w:rPr>
      </w:pPr>
    </w:p>
    <w:p w14:paraId="190B2610" w14:textId="77777777" w:rsidR="00C127EE" w:rsidRDefault="00EA11A9" w:rsidP="00C127EE">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Month" w:val="7"/>
          <w:attr w:name="Day" w:val="11"/>
          <w:attr w:name="Year" w:val="2006"/>
        </w:smartTagPr>
        <w:r w:rsidR="00C127EE">
          <w:rPr>
            <w:b/>
            <w:i/>
            <w:sz w:val="24"/>
          </w:rPr>
          <w:t>July 11-12</w:t>
        </w:r>
        <w:r w:rsidR="00645A15">
          <w:rPr>
            <w:b/>
            <w:i/>
            <w:sz w:val="24"/>
          </w:rPr>
          <w:t>, 2006</w:t>
        </w:r>
      </w:smartTag>
      <w:r w:rsidR="00C127EE">
        <w:rPr>
          <w:b/>
          <w:i/>
          <w:sz w:val="24"/>
        </w:rPr>
        <w:t xml:space="preserve">, </w:t>
      </w:r>
      <w:smartTag w:uri="urn:schemas-microsoft-com:office:smarttags" w:element="place">
        <w:smartTag w:uri="urn:schemas-microsoft-com:office:smarttags" w:element="City">
          <w:r w:rsidR="00C127EE">
            <w:rPr>
              <w:b/>
              <w:i/>
              <w:sz w:val="24"/>
            </w:rPr>
            <w:t>Edmonton</w:t>
          </w:r>
        </w:smartTag>
        <w:r w:rsidR="00C127EE">
          <w:rPr>
            <w:b/>
            <w:i/>
            <w:sz w:val="24"/>
          </w:rPr>
          <w:t xml:space="preserve">, </w:t>
        </w:r>
        <w:smartTag w:uri="urn:schemas-microsoft-com:office:smarttags" w:element="country-region">
          <w:r w:rsidR="00C127EE">
            <w:rPr>
              <w:b/>
              <w:i/>
              <w:sz w:val="24"/>
            </w:rPr>
            <w:t>Canada</w:t>
          </w:r>
        </w:smartTag>
      </w:smartTag>
      <w:r>
        <w:rPr>
          <w:b/>
          <w:i/>
          <w:sz w:val="24"/>
        </w:rPr>
        <w:t xml:space="preserve"> – Hosted b</w:t>
      </w:r>
      <w:r w:rsidR="00C127EE">
        <w:rPr>
          <w:b/>
          <w:i/>
          <w:sz w:val="24"/>
        </w:rPr>
        <w:t>y Canadian</w:t>
      </w:r>
    </w:p>
    <w:p w14:paraId="5BBFE736" w14:textId="77777777" w:rsidR="005549CC" w:rsidRPr="008C7EDC" w:rsidRDefault="00C127EE" w:rsidP="00C127EE">
      <w:pPr>
        <w:ind w:left="1440" w:firstLine="720"/>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Consortium</w:t>
      </w:r>
    </w:p>
    <w:sectPr w:rsidR="005549CC" w:rsidRPr="008C7EDC">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C42A" w14:textId="77777777" w:rsidR="00000000" w:rsidRDefault="006D51A4">
      <w:r>
        <w:separator/>
      </w:r>
    </w:p>
  </w:endnote>
  <w:endnote w:type="continuationSeparator" w:id="0">
    <w:p w14:paraId="39A10D2F" w14:textId="77777777" w:rsidR="00000000" w:rsidRDefault="006D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079D"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EDF35E"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7CD0"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708">
      <w:rPr>
        <w:rStyle w:val="PageNumber"/>
        <w:noProof/>
      </w:rPr>
      <w:t>1</w:t>
    </w:r>
    <w:r>
      <w:rPr>
        <w:rStyle w:val="PageNumber"/>
      </w:rPr>
      <w:fldChar w:fldCharType="end"/>
    </w:r>
  </w:p>
  <w:p w14:paraId="38892B41"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10BE" w14:textId="77777777" w:rsidR="00000000" w:rsidRDefault="006D51A4">
      <w:r>
        <w:separator/>
      </w:r>
    </w:p>
  </w:footnote>
  <w:footnote w:type="continuationSeparator" w:id="0">
    <w:p w14:paraId="33D9FE52" w14:textId="77777777" w:rsidR="00000000" w:rsidRDefault="006D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89B"/>
    <w:multiLevelType w:val="hybridMultilevel"/>
    <w:tmpl w:val="CBD2ADA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C7C41"/>
    <w:multiLevelType w:val="hybridMultilevel"/>
    <w:tmpl w:val="572A439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408A3"/>
    <w:multiLevelType w:val="hybridMultilevel"/>
    <w:tmpl w:val="2B1402D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10641"/>
    <w:multiLevelType w:val="hybridMultilevel"/>
    <w:tmpl w:val="BC56D9C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54177"/>
    <w:multiLevelType w:val="hybridMultilevel"/>
    <w:tmpl w:val="17D82A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145C8"/>
    <w:multiLevelType w:val="hybridMultilevel"/>
    <w:tmpl w:val="3B74513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D2A8E"/>
    <w:multiLevelType w:val="hybridMultilevel"/>
    <w:tmpl w:val="973AF7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48327673">
    <w:abstractNumId w:val="1"/>
  </w:num>
  <w:num w:numId="2" w16cid:durableId="173999777">
    <w:abstractNumId w:val="3"/>
  </w:num>
  <w:num w:numId="3" w16cid:durableId="266547588">
    <w:abstractNumId w:val="2"/>
  </w:num>
  <w:num w:numId="4" w16cid:durableId="1205678347">
    <w:abstractNumId w:val="6"/>
  </w:num>
  <w:num w:numId="5" w16cid:durableId="207884038">
    <w:abstractNumId w:val="0"/>
  </w:num>
  <w:num w:numId="6" w16cid:durableId="507604422">
    <w:abstractNumId w:val="5"/>
  </w:num>
  <w:num w:numId="7" w16cid:durableId="27086806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7CA4"/>
    <w:rsid w:val="000264D3"/>
    <w:rsid w:val="00027DFE"/>
    <w:rsid w:val="00036804"/>
    <w:rsid w:val="00041A2F"/>
    <w:rsid w:val="00041BB5"/>
    <w:rsid w:val="00042027"/>
    <w:rsid w:val="00043EF0"/>
    <w:rsid w:val="00053321"/>
    <w:rsid w:val="00055F04"/>
    <w:rsid w:val="00056077"/>
    <w:rsid w:val="00056D09"/>
    <w:rsid w:val="00057FC0"/>
    <w:rsid w:val="00060A3E"/>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C24"/>
    <w:rsid w:val="00086D89"/>
    <w:rsid w:val="00095CE7"/>
    <w:rsid w:val="000A1267"/>
    <w:rsid w:val="000A3FF5"/>
    <w:rsid w:val="000A541D"/>
    <w:rsid w:val="000A6433"/>
    <w:rsid w:val="000A6FDA"/>
    <w:rsid w:val="000B0951"/>
    <w:rsid w:val="000B55F2"/>
    <w:rsid w:val="000B61BB"/>
    <w:rsid w:val="000C4C4E"/>
    <w:rsid w:val="000C687C"/>
    <w:rsid w:val="000D2871"/>
    <w:rsid w:val="000F185B"/>
    <w:rsid w:val="000F1DBD"/>
    <w:rsid w:val="000F2E8E"/>
    <w:rsid w:val="000F3E0D"/>
    <w:rsid w:val="0010013C"/>
    <w:rsid w:val="0010118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E092E"/>
    <w:rsid w:val="001F0ED3"/>
    <w:rsid w:val="001F2C3D"/>
    <w:rsid w:val="001F59FF"/>
    <w:rsid w:val="001F6D0D"/>
    <w:rsid w:val="001F7203"/>
    <w:rsid w:val="00210417"/>
    <w:rsid w:val="00210F87"/>
    <w:rsid w:val="0021520A"/>
    <w:rsid w:val="002156AD"/>
    <w:rsid w:val="00225A19"/>
    <w:rsid w:val="002263EB"/>
    <w:rsid w:val="002327E8"/>
    <w:rsid w:val="00233582"/>
    <w:rsid w:val="00234136"/>
    <w:rsid w:val="0023485B"/>
    <w:rsid w:val="00237BDB"/>
    <w:rsid w:val="00240525"/>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512F"/>
    <w:rsid w:val="002A5EEF"/>
    <w:rsid w:val="002B0569"/>
    <w:rsid w:val="002B3A5F"/>
    <w:rsid w:val="002B4650"/>
    <w:rsid w:val="002B4666"/>
    <w:rsid w:val="002C3D3E"/>
    <w:rsid w:val="002D1DCF"/>
    <w:rsid w:val="002D53F7"/>
    <w:rsid w:val="002D6770"/>
    <w:rsid w:val="002E1A07"/>
    <w:rsid w:val="002E20DC"/>
    <w:rsid w:val="002E48CA"/>
    <w:rsid w:val="003011C6"/>
    <w:rsid w:val="00305C41"/>
    <w:rsid w:val="0031001C"/>
    <w:rsid w:val="003110FB"/>
    <w:rsid w:val="00316CC9"/>
    <w:rsid w:val="0031790B"/>
    <w:rsid w:val="00323D0F"/>
    <w:rsid w:val="00324D02"/>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63C32"/>
    <w:rsid w:val="00463E44"/>
    <w:rsid w:val="00480552"/>
    <w:rsid w:val="00485D24"/>
    <w:rsid w:val="00487298"/>
    <w:rsid w:val="004907BA"/>
    <w:rsid w:val="004926D9"/>
    <w:rsid w:val="004932A1"/>
    <w:rsid w:val="00495621"/>
    <w:rsid w:val="004A0537"/>
    <w:rsid w:val="004A1EC3"/>
    <w:rsid w:val="004A2F87"/>
    <w:rsid w:val="004A334F"/>
    <w:rsid w:val="004A4100"/>
    <w:rsid w:val="004A61F2"/>
    <w:rsid w:val="004A7BE9"/>
    <w:rsid w:val="004B333A"/>
    <w:rsid w:val="004B5794"/>
    <w:rsid w:val="004B7B01"/>
    <w:rsid w:val="004C0425"/>
    <w:rsid w:val="004C6E6C"/>
    <w:rsid w:val="004D050A"/>
    <w:rsid w:val="004D07DE"/>
    <w:rsid w:val="004D0A1A"/>
    <w:rsid w:val="004D1B30"/>
    <w:rsid w:val="004D4BE9"/>
    <w:rsid w:val="004D5572"/>
    <w:rsid w:val="004D5AEF"/>
    <w:rsid w:val="004E6245"/>
    <w:rsid w:val="004F31E3"/>
    <w:rsid w:val="004F5057"/>
    <w:rsid w:val="004F5177"/>
    <w:rsid w:val="0050066D"/>
    <w:rsid w:val="00515A14"/>
    <w:rsid w:val="00516E10"/>
    <w:rsid w:val="0052122F"/>
    <w:rsid w:val="00522B3D"/>
    <w:rsid w:val="00531166"/>
    <w:rsid w:val="00534B3C"/>
    <w:rsid w:val="00544562"/>
    <w:rsid w:val="005450D3"/>
    <w:rsid w:val="00545254"/>
    <w:rsid w:val="00547260"/>
    <w:rsid w:val="00547B01"/>
    <w:rsid w:val="00551853"/>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6210"/>
    <w:rsid w:val="005C762D"/>
    <w:rsid w:val="005D0EF5"/>
    <w:rsid w:val="005D159C"/>
    <w:rsid w:val="005D1876"/>
    <w:rsid w:val="005D1E46"/>
    <w:rsid w:val="005D2195"/>
    <w:rsid w:val="005D2BE5"/>
    <w:rsid w:val="005D4F88"/>
    <w:rsid w:val="005D59ED"/>
    <w:rsid w:val="005E1ABC"/>
    <w:rsid w:val="005E3E18"/>
    <w:rsid w:val="005E4C6F"/>
    <w:rsid w:val="005E52F9"/>
    <w:rsid w:val="005E589C"/>
    <w:rsid w:val="005E615B"/>
    <w:rsid w:val="005F1070"/>
    <w:rsid w:val="005F4035"/>
    <w:rsid w:val="005F4A26"/>
    <w:rsid w:val="005F6665"/>
    <w:rsid w:val="005F7D88"/>
    <w:rsid w:val="006000E7"/>
    <w:rsid w:val="00601349"/>
    <w:rsid w:val="00603338"/>
    <w:rsid w:val="00605AA9"/>
    <w:rsid w:val="006102D0"/>
    <w:rsid w:val="00610396"/>
    <w:rsid w:val="00612888"/>
    <w:rsid w:val="00621C5E"/>
    <w:rsid w:val="006257E9"/>
    <w:rsid w:val="006305E7"/>
    <w:rsid w:val="006308DD"/>
    <w:rsid w:val="00633BE0"/>
    <w:rsid w:val="006345E7"/>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3995"/>
    <w:rsid w:val="006B3E1E"/>
    <w:rsid w:val="006B75BF"/>
    <w:rsid w:val="006B77B0"/>
    <w:rsid w:val="006C059D"/>
    <w:rsid w:val="006D065E"/>
    <w:rsid w:val="006D3FDC"/>
    <w:rsid w:val="006D4AED"/>
    <w:rsid w:val="006D51A4"/>
    <w:rsid w:val="006D5C0E"/>
    <w:rsid w:val="006D6055"/>
    <w:rsid w:val="006D6478"/>
    <w:rsid w:val="006D7AF0"/>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4C47"/>
    <w:rsid w:val="00737272"/>
    <w:rsid w:val="00741457"/>
    <w:rsid w:val="00742FDA"/>
    <w:rsid w:val="00747511"/>
    <w:rsid w:val="0075748E"/>
    <w:rsid w:val="007603F3"/>
    <w:rsid w:val="007643A9"/>
    <w:rsid w:val="0076497A"/>
    <w:rsid w:val="0077154E"/>
    <w:rsid w:val="007721DC"/>
    <w:rsid w:val="007741AA"/>
    <w:rsid w:val="0077618C"/>
    <w:rsid w:val="00777131"/>
    <w:rsid w:val="00781494"/>
    <w:rsid w:val="0078567A"/>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F0BAB"/>
    <w:rsid w:val="007F1840"/>
    <w:rsid w:val="007F19F0"/>
    <w:rsid w:val="007F37D9"/>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4BF"/>
    <w:rsid w:val="00890CDA"/>
    <w:rsid w:val="008935FE"/>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5B30"/>
    <w:rsid w:val="0095373D"/>
    <w:rsid w:val="00963D27"/>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A06D9"/>
    <w:rsid w:val="009B0C61"/>
    <w:rsid w:val="009B2732"/>
    <w:rsid w:val="009B2C9A"/>
    <w:rsid w:val="009B50FD"/>
    <w:rsid w:val="009C159D"/>
    <w:rsid w:val="009C1609"/>
    <w:rsid w:val="009C7498"/>
    <w:rsid w:val="009D3B13"/>
    <w:rsid w:val="009E4A3B"/>
    <w:rsid w:val="009E5167"/>
    <w:rsid w:val="009F67CD"/>
    <w:rsid w:val="00A05149"/>
    <w:rsid w:val="00A054B9"/>
    <w:rsid w:val="00A056DA"/>
    <w:rsid w:val="00A05EB9"/>
    <w:rsid w:val="00A23849"/>
    <w:rsid w:val="00A23960"/>
    <w:rsid w:val="00A24D67"/>
    <w:rsid w:val="00A252B3"/>
    <w:rsid w:val="00A263BD"/>
    <w:rsid w:val="00A27109"/>
    <w:rsid w:val="00A3043E"/>
    <w:rsid w:val="00A31985"/>
    <w:rsid w:val="00A369AA"/>
    <w:rsid w:val="00A4374A"/>
    <w:rsid w:val="00A46555"/>
    <w:rsid w:val="00A521A2"/>
    <w:rsid w:val="00A57C55"/>
    <w:rsid w:val="00A6066A"/>
    <w:rsid w:val="00A60867"/>
    <w:rsid w:val="00A62BCC"/>
    <w:rsid w:val="00A6555B"/>
    <w:rsid w:val="00A67D5B"/>
    <w:rsid w:val="00A711ED"/>
    <w:rsid w:val="00A73F96"/>
    <w:rsid w:val="00A84E3B"/>
    <w:rsid w:val="00A9048E"/>
    <w:rsid w:val="00A90BDB"/>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4A3E"/>
    <w:rsid w:val="00AE5ADC"/>
    <w:rsid w:val="00AF0F94"/>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294C"/>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27EE"/>
    <w:rsid w:val="00C20823"/>
    <w:rsid w:val="00C23732"/>
    <w:rsid w:val="00C26AB2"/>
    <w:rsid w:val="00C36374"/>
    <w:rsid w:val="00C36B3D"/>
    <w:rsid w:val="00C403DA"/>
    <w:rsid w:val="00C41F3E"/>
    <w:rsid w:val="00C42ECF"/>
    <w:rsid w:val="00C43E00"/>
    <w:rsid w:val="00C50513"/>
    <w:rsid w:val="00C52567"/>
    <w:rsid w:val="00C5539A"/>
    <w:rsid w:val="00C57BAA"/>
    <w:rsid w:val="00C60DDC"/>
    <w:rsid w:val="00C63F3A"/>
    <w:rsid w:val="00C64870"/>
    <w:rsid w:val="00C71C0C"/>
    <w:rsid w:val="00C72F85"/>
    <w:rsid w:val="00C815B5"/>
    <w:rsid w:val="00C84299"/>
    <w:rsid w:val="00C844D2"/>
    <w:rsid w:val="00C857B4"/>
    <w:rsid w:val="00C86674"/>
    <w:rsid w:val="00C872FD"/>
    <w:rsid w:val="00CA15C6"/>
    <w:rsid w:val="00CA4073"/>
    <w:rsid w:val="00CA42B6"/>
    <w:rsid w:val="00CB09A7"/>
    <w:rsid w:val="00CB110B"/>
    <w:rsid w:val="00CB1ED3"/>
    <w:rsid w:val="00CB4D75"/>
    <w:rsid w:val="00CC0929"/>
    <w:rsid w:val="00CC106C"/>
    <w:rsid w:val="00CC6AD8"/>
    <w:rsid w:val="00CC6C77"/>
    <w:rsid w:val="00CC6D66"/>
    <w:rsid w:val="00CC7720"/>
    <w:rsid w:val="00CD0D68"/>
    <w:rsid w:val="00CD18E5"/>
    <w:rsid w:val="00CD4F3B"/>
    <w:rsid w:val="00CD693A"/>
    <w:rsid w:val="00CD7388"/>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4D29"/>
    <w:rsid w:val="00DE6F4E"/>
    <w:rsid w:val="00DE7964"/>
    <w:rsid w:val="00DF4DF8"/>
    <w:rsid w:val="00DF7269"/>
    <w:rsid w:val="00E14B85"/>
    <w:rsid w:val="00E15B1B"/>
    <w:rsid w:val="00E16B01"/>
    <w:rsid w:val="00E223A7"/>
    <w:rsid w:val="00E22CA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8C5"/>
    <w:rsid w:val="00F9238F"/>
    <w:rsid w:val="00F932FC"/>
    <w:rsid w:val="00F937B2"/>
    <w:rsid w:val="00F93FE7"/>
    <w:rsid w:val="00F96931"/>
    <w:rsid w:val="00F97133"/>
    <w:rsid w:val="00FA0FE7"/>
    <w:rsid w:val="00FA10AB"/>
    <w:rsid w:val="00FA19BF"/>
    <w:rsid w:val="00FA4964"/>
    <w:rsid w:val="00FA62AF"/>
    <w:rsid w:val="00FA742F"/>
    <w:rsid w:val="00FB17AB"/>
    <w:rsid w:val="00FB26AE"/>
    <w:rsid w:val="00FB2C30"/>
    <w:rsid w:val="00FB34F5"/>
    <w:rsid w:val="00FB6A65"/>
    <w:rsid w:val="00FB6B2B"/>
    <w:rsid w:val="00FD4C05"/>
    <w:rsid w:val="00FD5F0A"/>
    <w:rsid w:val="00FE37D1"/>
    <w:rsid w:val="00FE4152"/>
    <w:rsid w:val="00FE44E8"/>
    <w:rsid w:val="00FE51C5"/>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C0BDED9"/>
  <w15:chartTrackingRefBased/>
  <w15:docId w15:val="{9286C20A-6C4D-486A-841F-5C30F98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oleObject" Target="embeddings/Microsoft_Word_97_-_2003_Document3.doc"/><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Microsoft_Word_97_-_2003_Document7.doc"/><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oleObject" Target="embeddings/Microsoft_Word_97_-_2003_Document5.doc"/><Relationship Id="rId25" Type="http://schemas.openxmlformats.org/officeDocument/2006/relationships/oleObject" Target="embeddings/Microsoft_Word_97_-_2003_Document9.doc"/><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oleObject" Target="embeddings/Microsoft_Word_97_-_2003_Document4.doc"/><Relationship Id="rId23" Type="http://schemas.openxmlformats.org/officeDocument/2006/relationships/oleObject" Target="embeddings/Microsoft_Word_97_-_2003_Document8.doc"/><Relationship Id="rId28" Type="http://schemas.openxmlformats.org/officeDocument/2006/relationships/fontTable" Target="fontTable.xml"/><Relationship Id="rId10" Type="http://schemas.openxmlformats.org/officeDocument/2006/relationships/oleObject" Target="embeddings/Microsoft_Word_97_-_2003_Document1.doc"/><Relationship Id="rId19" Type="http://schemas.openxmlformats.org/officeDocument/2006/relationships/oleObject" Target="embeddings/Microsoft_Word_97_-_2003_Document6.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2023-03-20T15:26:00Z</dcterms:created>
  <dcterms:modified xsi:type="dcterms:W3CDTF">2023-03-20T15:26:00Z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