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ACD5" w14:textId="77777777" w:rsidR="001A606D" w:rsidRDefault="001A606D">
      <w:pPr>
        <w:pStyle w:val="Title"/>
      </w:pPr>
      <w:r>
        <w:t>LNPA WORKING GROUP</w:t>
      </w:r>
    </w:p>
    <w:p w14:paraId="1C975168" w14:textId="77777777" w:rsidR="001A606D" w:rsidRDefault="002A59F0">
      <w:pPr>
        <w:pStyle w:val="Title"/>
      </w:pPr>
      <w:r>
        <w:t>February</w:t>
      </w:r>
      <w:r w:rsidR="007222B3">
        <w:t xml:space="preserve"> 10,</w:t>
      </w:r>
      <w:r>
        <w:t xml:space="preserve"> </w:t>
      </w:r>
      <w:proofErr w:type="gramStart"/>
      <w:r>
        <w:t>2009</w:t>
      </w:r>
      <w:proofErr w:type="gramEnd"/>
      <w:r w:rsidR="009A06D9">
        <w:t xml:space="preserve"> Conference Call</w:t>
      </w:r>
    </w:p>
    <w:p w14:paraId="741AB714" w14:textId="77777777" w:rsidR="001A606D" w:rsidRDefault="00037946">
      <w:pPr>
        <w:pStyle w:val="Title"/>
      </w:pPr>
      <w:r>
        <w:t>Final</w:t>
      </w:r>
      <w:r w:rsidR="001A606D">
        <w:t xml:space="preserve"> Minutes</w:t>
      </w:r>
    </w:p>
    <w:p w14:paraId="3FEE723A" w14:textId="77777777" w:rsidR="001A606D" w:rsidRDefault="001A606D">
      <w:pPr>
        <w:rPr>
          <w:sz w:val="24"/>
        </w:rPr>
      </w:pPr>
    </w:p>
    <w:p w14:paraId="39A0ED91" w14:textId="77777777" w:rsidR="001A606D" w:rsidRDefault="001A606D">
      <w:pPr>
        <w:rPr>
          <w:sz w:val="24"/>
        </w:rPr>
      </w:pPr>
    </w:p>
    <w:p w14:paraId="6DC6ACFD" w14:textId="77777777" w:rsidR="001A606D" w:rsidRDefault="002A59F0">
      <w:pPr>
        <w:rPr>
          <w:sz w:val="24"/>
        </w:rPr>
      </w:pPr>
      <w:r>
        <w:rPr>
          <w:b/>
          <w:sz w:val="24"/>
          <w:u w:val="single"/>
        </w:rPr>
        <w:t>TUESDAY 02/10</w:t>
      </w:r>
      <w:r w:rsidR="001A606D">
        <w:rPr>
          <w:b/>
          <w:sz w:val="24"/>
          <w:u w:val="single"/>
        </w:rPr>
        <w:t>/0</w:t>
      </w:r>
      <w:r>
        <w:rPr>
          <w:b/>
          <w:sz w:val="24"/>
          <w:u w:val="single"/>
        </w:rPr>
        <w:t>9</w:t>
      </w:r>
    </w:p>
    <w:p w14:paraId="79E75387" w14:textId="77777777" w:rsidR="00F9238F" w:rsidRPr="00AF205F" w:rsidRDefault="002A59F0">
      <w:pPr>
        <w:spacing w:before="160" w:after="80"/>
        <w:rPr>
          <w:color w:val="000000"/>
          <w:sz w:val="24"/>
        </w:rPr>
      </w:pPr>
      <w:r>
        <w:rPr>
          <w:color w:val="000000"/>
          <w:sz w:val="24"/>
        </w:rPr>
        <w:t>Tuesday, 02/10/09</w:t>
      </w:r>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532520A0" w14:textId="77777777">
        <w:tblPrEx>
          <w:tblCellMar>
            <w:top w:w="0" w:type="dxa"/>
            <w:bottom w:w="0" w:type="dxa"/>
          </w:tblCellMar>
        </w:tblPrEx>
        <w:trPr>
          <w:trHeight w:val="408"/>
        </w:trPr>
        <w:tc>
          <w:tcPr>
            <w:tcW w:w="1758" w:type="dxa"/>
            <w:shd w:val="solid" w:color="000080" w:fill="FFFFFF"/>
          </w:tcPr>
          <w:p w14:paraId="3A7C585B" w14:textId="77777777" w:rsidR="001A606D" w:rsidRDefault="001A606D">
            <w:pPr>
              <w:rPr>
                <w:b/>
                <w:color w:val="FFFFFF"/>
              </w:rPr>
            </w:pPr>
            <w:r>
              <w:rPr>
                <w:b/>
                <w:color w:val="FFFFFF"/>
              </w:rPr>
              <w:t>Name</w:t>
            </w:r>
          </w:p>
        </w:tc>
        <w:tc>
          <w:tcPr>
            <w:tcW w:w="2590" w:type="dxa"/>
            <w:shd w:val="solid" w:color="000080" w:fill="FFFFFF"/>
          </w:tcPr>
          <w:p w14:paraId="4F566DB4" w14:textId="77777777" w:rsidR="001A606D" w:rsidRDefault="001A606D">
            <w:pPr>
              <w:rPr>
                <w:b/>
                <w:color w:val="FFFFFF"/>
              </w:rPr>
            </w:pPr>
            <w:r>
              <w:rPr>
                <w:b/>
                <w:color w:val="FFFFFF"/>
              </w:rPr>
              <w:t>Company</w:t>
            </w:r>
          </w:p>
        </w:tc>
        <w:tc>
          <w:tcPr>
            <w:tcW w:w="2582" w:type="dxa"/>
            <w:shd w:val="solid" w:color="000080" w:fill="FFFFFF"/>
          </w:tcPr>
          <w:p w14:paraId="41BB79A4" w14:textId="77777777" w:rsidR="001A606D" w:rsidRDefault="001A606D">
            <w:pPr>
              <w:rPr>
                <w:b/>
                <w:color w:val="FFFFFF"/>
              </w:rPr>
            </w:pPr>
            <w:r>
              <w:rPr>
                <w:b/>
                <w:color w:val="FFFFFF"/>
              </w:rPr>
              <w:t>Name</w:t>
            </w:r>
          </w:p>
        </w:tc>
        <w:tc>
          <w:tcPr>
            <w:tcW w:w="2610" w:type="dxa"/>
            <w:gridSpan w:val="3"/>
            <w:shd w:val="solid" w:color="000080" w:fill="FFFFFF"/>
          </w:tcPr>
          <w:p w14:paraId="50366DF5" w14:textId="77777777" w:rsidR="001A606D" w:rsidRDefault="001A606D">
            <w:pPr>
              <w:rPr>
                <w:b/>
                <w:color w:val="FFFFFF"/>
              </w:rPr>
            </w:pPr>
            <w:r>
              <w:rPr>
                <w:b/>
                <w:color w:val="FFFFFF"/>
              </w:rPr>
              <w:t>Company</w:t>
            </w:r>
          </w:p>
        </w:tc>
      </w:tr>
      <w:tr w:rsidR="000B3230" w14:paraId="212C437A" w14:textId="77777777">
        <w:tblPrEx>
          <w:tblCellMar>
            <w:top w:w="0" w:type="dxa"/>
            <w:bottom w:w="0" w:type="dxa"/>
          </w:tblCellMar>
        </w:tblPrEx>
        <w:trPr>
          <w:gridAfter w:val="1"/>
          <w:wAfter w:w="12" w:type="dxa"/>
          <w:trHeight w:val="319"/>
        </w:trPr>
        <w:tc>
          <w:tcPr>
            <w:tcW w:w="1758" w:type="dxa"/>
          </w:tcPr>
          <w:p w14:paraId="5261850C" w14:textId="77777777" w:rsidR="000B3230" w:rsidRPr="00316E7F" w:rsidRDefault="000B3230" w:rsidP="007965CB">
            <w:r w:rsidRPr="00316E7F">
              <w:t>Ron Steen</w:t>
            </w:r>
          </w:p>
        </w:tc>
        <w:tc>
          <w:tcPr>
            <w:tcW w:w="2590" w:type="dxa"/>
          </w:tcPr>
          <w:p w14:paraId="0239FEEC" w14:textId="77777777" w:rsidR="000B3230" w:rsidRPr="00316E7F" w:rsidRDefault="000B3230" w:rsidP="007965CB">
            <w:r w:rsidRPr="00316E7F">
              <w:t>AT&amp;T</w:t>
            </w:r>
          </w:p>
        </w:tc>
        <w:tc>
          <w:tcPr>
            <w:tcW w:w="2590" w:type="dxa"/>
            <w:gridSpan w:val="2"/>
          </w:tcPr>
          <w:p w14:paraId="05F543E2" w14:textId="77777777" w:rsidR="000B3230" w:rsidRPr="00316E7F" w:rsidRDefault="000B3230" w:rsidP="007565C5">
            <w:r w:rsidRPr="00316E7F">
              <w:t xml:space="preserve">Charles </w:t>
            </w:r>
            <w:proofErr w:type="spellStart"/>
            <w:r w:rsidRPr="00316E7F">
              <w:t>Ryburn</w:t>
            </w:r>
            <w:proofErr w:type="spellEnd"/>
          </w:p>
        </w:tc>
        <w:tc>
          <w:tcPr>
            <w:tcW w:w="2590" w:type="dxa"/>
          </w:tcPr>
          <w:p w14:paraId="2D39E5A9" w14:textId="77777777" w:rsidR="000B3230" w:rsidRPr="00316E7F" w:rsidRDefault="000B3230" w:rsidP="007565C5">
            <w:proofErr w:type="spellStart"/>
            <w:r w:rsidRPr="00316E7F">
              <w:t>NeuStar</w:t>
            </w:r>
            <w:proofErr w:type="spellEnd"/>
          </w:p>
        </w:tc>
      </w:tr>
      <w:tr w:rsidR="000B3230" w14:paraId="69BA7C74" w14:textId="77777777">
        <w:tblPrEx>
          <w:tblCellMar>
            <w:top w:w="0" w:type="dxa"/>
            <w:bottom w:w="0" w:type="dxa"/>
          </w:tblCellMar>
        </w:tblPrEx>
        <w:trPr>
          <w:gridAfter w:val="1"/>
          <w:wAfter w:w="12" w:type="dxa"/>
          <w:trHeight w:val="319"/>
        </w:trPr>
        <w:tc>
          <w:tcPr>
            <w:tcW w:w="1758" w:type="dxa"/>
          </w:tcPr>
          <w:p w14:paraId="3A2567AA" w14:textId="77777777" w:rsidR="000B3230" w:rsidRPr="00316E7F" w:rsidRDefault="000B3230" w:rsidP="007965CB">
            <w:r>
              <w:t>Teresa Patton</w:t>
            </w:r>
          </w:p>
        </w:tc>
        <w:tc>
          <w:tcPr>
            <w:tcW w:w="2590" w:type="dxa"/>
          </w:tcPr>
          <w:p w14:paraId="4806B9C4" w14:textId="77777777" w:rsidR="000B3230" w:rsidRPr="00316E7F" w:rsidRDefault="000B3230" w:rsidP="007965CB">
            <w:r>
              <w:t>AT&amp;T</w:t>
            </w:r>
          </w:p>
        </w:tc>
        <w:tc>
          <w:tcPr>
            <w:tcW w:w="2590" w:type="dxa"/>
            <w:gridSpan w:val="2"/>
          </w:tcPr>
          <w:p w14:paraId="45115DA2" w14:textId="77777777" w:rsidR="000B3230" w:rsidRPr="00316E7F" w:rsidRDefault="000B3230" w:rsidP="007565C5">
            <w:r>
              <w:t>Tara Farquhar</w:t>
            </w:r>
          </w:p>
        </w:tc>
        <w:tc>
          <w:tcPr>
            <w:tcW w:w="2590" w:type="dxa"/>
          </w:tcPr>
          <w:p w14:paraId="4641E9FE" w14:textId="77777777" w:rsidR="000B3230" w:rsidRPr="00316E7F" w:rsidRDefault="000B3230" w:rsidP="007565C5">
            <w:proofErr w:type="spellStart"/>
            <w:r w:rsidRPr="00316E7F">
              <w:t>NeuStar</w:t>
            </w:r>
            <w:proofErr w:type="spellEnd"/>
            <w:r w:rsidRPr="00316E7F">
              <w:t xml:space="preserve"> Pooling</w:t>
            </w:r>
          </w:p>
        </w:tc>
      </w:tr>
      <w:tr w:rsidR="000B3230" w14:paraId="776AAB25" w14:textId="77777777">
        <w:tblPrEx>
          <w:tblCellMar>
            <w:top w:w="0" w:type="dxa"/>
            <w:bottom w:w="0" w:type="dxa"/>
          </w:tblCellMar>
        </w:tblPrEx>
        <w:trPr>
          <w:gridAfter w:val="1"/>
          <w:wAfter w:w="12" w:type="dxa"/>
          <w:trHeight w:val="319"/>
        </w:trPr>
        <w:tc>
          <w:tcPr>
            <w:tcW w:w="1758" w:type="dxa"/>
          </w:tcPr>
          <w:p w14:paraId="32455D69" w14:textId="77777777" w:rsidR="000B3230" w:rsidRPr="00316E7F" w:rsidRDefault="000B3230" w:rsidP="007965CB">
            <w:r w:rsidRPr="00316E7F">
              <w:t>Lonnie Keck</w:t>
            </w:r>
          </w:p>
        </w:tc>
        <w:tc>
          <w:tcPr>
            <w:tcW w:w="2590" w:type="dxa"/>
          </w:tcPr>
          <w:p w14:paraId="2A1D54DF" w14:textId="77777777" w:rsidR="000B3230" w:rsidRPr="00316E7F" w:rsidRDefault="000B3230" w:rsidP="007965CB">
            <w:r w:rsidRPr="00316E7F">
              <w:t>AT&amp;T Mobility</w:t>
            </w:r>
          </w:p>
        </w:tc>
        <w:tc>
          <w:tcPr>
            <w:tcW w:w="2590" w:type="dxa"/>
            <w:gridSpan w:val="2"/>
          </w:tcPr>
          <w:p w14:paraId="424DACAE" w14:textId="77777777" w:rsidR="000B3230" w:rsidRPr="00316E7F" w:rsidRDefault="000B3230" w:rsidP="007565C5">
            <w:pPr>
              <w:tabs>
                <w:tab w:val="right" w:pos="2116"/>
              </w:tabs>
            </w:pPr>
            <w:r w:rsidRPr="00316E7F">
              <w:t>Mubeen Saifullah</w:t>
            </w:r>
          </w:p>
        </w:tc>
        <w:tc>
          <w:tcPr>
            <w:tcW w:w="2590" w:type="dxa"/>
          </w:tcPr>
          <w:p w14:paraId="38E6557F" w14:textId="77777777" w:rsidR="000B3230" w:rsidRPr="00316E7F" w:rsidRDefault="000B3230" w:rsidP="007565C5">
            <w:proofErr w:type="spellStart"/>
            <w:r w:rsidRPr="00316E7F">
              <w:t>NeuStar</w:t>
            </w:r>
            <w:proofErr w:type="spellEnd"/>
            <w:r w:rsidRPr="00316E7F">
              <w:t xml:space="preserve"> Clearinghouse</w:t>
            </w:r>
          </w:p>
        </w:tc>
      </w:tr>
      <w:tr w:rsidR="000B3230" w14:paraId="6346F233" w14:textId="77777777">
        <w:tblPrEx>
          <w:tblCellMar>
            <w:top w:w="0" w:type="dxa"/>
            <w:bottom w:w="0" w:type="dxa"/>
          </w:tblCellMar>
        </w:tblPrEx>
        <w:trPr>
          <w:gridAfter w:val="1"/>
          <w:wAfter w:w="12" w:type="dxa"/>
          <w:trHeight w:val="319"/>
        </w:trPr>
        <w:tc>
          <w:tcPr>
            <w:tcW w:w="1758" w:type="dxa"/>
          </w:tcPr>
          <w:p w14:paraId="5234AB9E" w14:textId="77777777" w:rsidR="000B3230" w:rsidRPr="00316E7F" w:rsidRDefault="000B3230" w:rsidP="007965CB">
            <w:r w:rsidRPr="00316E7F">
              <w:t>Renee Dillon</w:t>
            </w:r>
          </w:p>
        </w:tc>
        <w:tc>
          <w:tcPr>
            <w:tcW w:w="2590" w:type="dxa"/>
          </w:tcPr>
          <w:p w14:paraId="49A8ABEF" w14:textId="77777777" w:rsidR="000B3230" w:rsidRPr="00316E7F" w:rsidRDefault="000B3230" w:rsidP="007965CB">
            <w:r w:rsidRPr="00316E7F">
              <w:t>AT&amp;T Mobility</w:t>
            </w:r>
          </w:p>
        </w:tc>
        <w:tc>
          <w:tcPr>
            <w:tcW w:w="2590" w:type="dxa"/>
            <w:gridSpan w:val="2"/>
          </w:tcPr>
          <w:p w14:paraId="66D8BA00" w14:textId="77777777" w:rsidR="000B3230" w:rsidRPr="00316E7F" w:rsidRDefault="000B3230" w:rsidP="007565C5">
            <w:pPr>
              <w:tabs>
                <w:tab w:val="right" w:pos="2116"/>
              </w:tabs>
            </w:pPr>
            <w:r w:rsidRPr="00316E7F">
              <w:t>Linda Peterman</w:t>
            </w:r>
          </w:p>
        </w:tc>
        <w:tc>
          <w:tcPr>
            <w:tcW w:w="2590" w:type="dxa"/>
          </w:tcPr>
          <w:p w14:paraId="23648B76" w14:textId="77777777" w:rsidR="000B3230" w:rsidRPr="00316E7F" w:rsidRDefault="000B3230" w:rsidP="007565C5">
            <w:r w:rsidRPr="00316E7F">
              <w:t>One Communications</w:t>
            </w:r>
          </w:p>
        </w:tc>
      </w:tr>
      <w:tr w:rsidR="000B3230" w14:paraId="7728016B" w14:textId="77777777">
        <w:tblPrEx>
          <w:tblCellMar>
            <w:top w:w="0" w:type="dxa"/>
            <w:bottom w:w="0" w:type="dxa"/>
          </w:tblCellMar>
        </w:tblPrEx>
        <w:trPr>
          <w:gridAfter w:val="1"/>
          <w:wAfter w:w="12" w:type="dxa"/>
          <w:trHeight w:val="319"/>
        </w:trPr>
        <w:tc>
          <w:tcPr>
            <w:tcW w:w="1758" w:type="dxa"/>
          </w:tcPr>
          <w:p w14:paraId="33C6818B" w14:textId="77777777" w:rsidR="000B3230" w:rsidRPr="00316E7F" w:rsidRDefault="000B3230" w:rsidP="007965CB">
            <w:r w:rsidRPr="00316E7F">
              <w:t>Barbara Hjelmaa</w:t>
            </w:r>
          </w:p>
        </w:tc>
        <w:tc>
          <w:tcPr>
            <w:tcW w:w="2590" w:type="dxa"/>
          </w:tcPr>
          <w:p w14:paraId="6164845D" w14:textId="77777777" w:rsidR="000B3230" w:rsidRPr="00316E7F" w:rsidRDefault="000B3230" w:rsidP="007965CB">
            <w:r w:rsidRPr="00316E7F">
              <w:t>Bright House</w:t>
            </w:r>
          </w:p>
        </w:tc>
        <w:tc>
          <w:tcPr>
            <w:tcW w:w="2590" w:type="dxa"/>
            <w:gridSpan w:val="2"/>
          </w:tcPr>
          <w:p w14:paraId="6836DFF0" w14:textId="77777777" w:rsidR="000B3230" w:rsidRPr="00316E7F" w:rsidRDefault="000B3230" w:rsidP="007565C5">
            <w:pPr>
              <w:tabs>
                <w:tab w:val="right" w:pos="2116"/>
              </w:tabs>
            </w:pPr>
            <w:r w:rsidRPr="00316E7F">
              <w:t>Jan Doell</w:t>
            </w:r>
          </w:p>
        </w:tc>
        <w:tc>
          <w:tcPr>
            <w:tcW w:w="2590" w:type="dxa"/>
          </w:tcPr>
          <w:p w14:paraId="1C39F991" w14:textId="77777777" w:rsidR="000B3230" w:rsidRPr="00316E7F" w:rsidRDefault="000B3230" w:rsidP="007565C5">
            <w:r w:rsidRPr="00316E7F">
              <w:t>Qwest</w:t>
            </w:r>
          </w:p>
        </w:tc>
      </w:tr>
      <w:tr w:rsidR="000B3230" w14:paraId="0B961AB9" w14:textId="77777777">
        <w:tblPrEx>
          <w:tblCellMar>
            <w:top w:w="0" w:type="dxa"/>
            <w:bottom w:w="0" w:type="dxa"/>
          </w:tblCellMar>
        </w:tblPrEx>
        <w:trPr>
          <w:gridAfter w:val="1"/>
          <w:wAfter w:w="12" w:type="dxa"/>
          <w:trHeight w:val="319"/>
        </w:trPr>
        <w:tc>
          <w:tcPr>
            <w:tcW w:w="1758" w:type="dxa"/>
          </w:tcPr>
          <w:p w14:paraId="54CB6C97" w14:textId="77777777" w:rsidR="000B3230" w:rsidRPr="00316E7F" w:rsidRDefault="000B3230" w:rsidP="007965CB">
            <w:r>
              <w:t>Marian Hearn</w:t>
            </w:r>
          </w:p>
        </w:tc>
        <w:tc>
          <w:tcPr>
            <w:tcW w:w="2590" w:type="dxa"/>
          </w:tcPr>
          <w:p w14:paraId="1B11CD7A" w14:textId="77777777" w:rsidR="000B3230" w:rsidRPr="00316E7F" w:rsidRDefault="000B3230" w:rsidP="007965CB">
            <w:r>
              <w:t>Canadian Consortium</w:t>
            </w:r>
          </w:p>
        </w:tc>
        <w:tc>
          <w:tcPr>
            <w:tcW w:w="2590" w:type="dxa"/>
            <w:gridSpan w:val="2"/>
          </w:tcPr>
          <w:p w14:paraId="15047506" w14:textId="77777777" w:rsidR="000B3230" w:rsidRPr="00316E7F" w:rsidRDefault="000B3230" w:rsidP="007565C5">
            <w:r w:rsidRPr="00316E7F">
              <w:t>Mary Retka</w:t>
            </w:r>
          </w:p>
        </w:tc>
        <w:tc>
          <w:tcPr>
            <w:tcW w:w="2590" w:type="dxa"/>
          </w:tcPr>
          <w:p w14:paraId="670A2764" w14:textId="77777777" w:rsidR="000B3230" w:rsidRPr="00316E7F" w:rsidRDefault="000B3230" w:rsidP="007565C5">
            <w:r w:rsidRPr="00316E7F">
              <w:t>Qwest</w:t>
            </w:r>
          </w:p>
        </w:tc>
      </w:tr>
      <w:tr w:rsidR="000B3230" w14:paraId="6687BCE8" w14:textId="77777777">
        <w:tblPrEx>
          <w:tblCellMar>
            <w:top w:w="0" w:type="dxa"/>
            <w:bottom w:w="0" w:type="dxa"/>
          </w:tblCellMar>
        </w:tblPrEx>
        <w:trPr>
          <w:gridAfter w:val="1"/>
          <w:wAfter w:w="12" w:type="dxa"/>
          <w:trHeight w:val="319"/>
        </w:trPr>
        <w:tc>
          <w:tcPr>
            <w:tcW w:w="1758" w:type="dxa"/>
          </w:tcPr>
          <w:p w14:paraId="188BD432" w14:textId="77777777" w:rsidR="000B3230" w:rsidRPr="00316E7F" w:rsidRDefault="000B3230" w:rsidP="007965CB">
            <w:r>
              <w:t>Brigitte Witt</w:t>
            </w:r>
          </w:p>
        </w:tc>
        <w:tc>
          <w:tcPr>
            <w:tcW w:w="2590" w:type="dxa"/>
          </w:tcPr>
          <w:p w14:paraId="4758435A" w14:textId="77777777" w:rsidR="000B3230" w:rsidRPr="00316E7F" w:rsidRDefault="000B3230" w:rsidP="007965CB">
            <w:r>
              <w:t>Centennial Wireless</w:t>
            </w:r>
          </w:p>
        </w:tc>
        <w:tc>
          <w:tcPr>
            <w:tcW w:w="2590" w:type="dxa"/>
            <w:gridSpan w:val="2"/>
          </w:tcPr>
          <w:p w14:paraId="201CAE96" w14:textId="77777777" w:rsidR="000B3230" w:rsidRPr="00316E7F" w:rsidRDefault="000B3230" w:rsidP="007565C5">
            <w:r>
              <w:t>Rosemary Emmer</w:t>
            </w:r>
          </w:p>
        </w:tc>
        <w:tc>
          <w:tcPr>
            <w:tcW w:w="2590" w:type="dxa"/>
          </w:tcPr>
          <w:p w14:paraId="076270A2" w14:textId="77777777" w:rsidR="000B3230" w:rsidRPr="00316E7F" w:rsidRDefault="000B3230" w:rsidP="007565C5">
            <w:r>
              <w:t>Sprint Nextel</w:t>
            </w:r>
          </w:p>
        </w:tc>
      </w:tr>
      <w:tr w:rsidR="000B3230" w14:paraId="285AB0BA" w14:textId="77777777">
        <w:tblPrEx>
          <w:tblCellMar>
            <w:top w:w="0" w:type="dxa"/>
            <w:bottom w:w="0" w:type="dxa"/>
          </w:tblCellMar>
        </w:tblPrEx>
        <w:trPr>
          <w:gridAfter w:val="1"/>
          <w:wAfter w:w="12" w:type="dxa"/>
          <w:trHeight w:val="319"/>
        </w:trPr>
        <w:tc>
          <w:tcPr>
            <w:tcW w:w="1758" w:type="dxa"/>
          </w:tcPr>
          <w:p w14:paraId="00670A1E" w14:textId="77777777" w:rsidR="000B3230" w:rsidRPr="00316E7F" w:rsidRDefault="000B3230" w:rsidP="007965CB">
            <w:r w:rsidRPr="00316E7F">
              <w:t>Cindy Sheehan</w:t>
            </w:r>
          </w:p>
        </w:tc>
        <w:tc>
          <w:tcPr>
            <w:tcW w:w="2590" w:type="dxa"/>
          </w:tcPr>
          <w:p w14:paraId="0BFBE1B7" w14:textId="77777777" w:rsidR="000B3230" w:rsidRPr="00316E7F" w:rsidRDefault="000B3230" w:rsidP="007965CB">
            <w:r w:rsidRPr="00316E7F">
              <w:t>Comcast</w:t>
            </w:r>
          </w:p>
        </w:tc>
        <w:tc>
          <w:tcPr>
            <w:tcW w:w="2590" w:type="dxa"/>
            <w:gridSpan w:val="2"/>
          </w:tcPr>
          <w:p w14:paraId="590EE187" w14:textId="77777777" w:rsidR="000B3230" w:rsidRPr="00316E7F" w:rsidRDefault="000B3230" w:rsidP="007565C5">
            <w:r w:rsidRPr="00316E7F">
              <w:t>Susan Tiffany</w:t>
            </w:r>
          </w:p>
        </w:tc>
        <w:tc>
          <w:tcPr>
            <w:tcW w:w="2590" w:type="dxa"/>
          </w:tcPr>
          <w:p w14:paraId="2AEEDB2A" w14:textId="77777777" w:rsidR="000B3230" w:rsidRPr="00316E7F" w:rsidRDefault="000B3230" w:rsidP="007565C5">
            <w:r w:rsidRPr="00316E7F">
              <w:t>Sprint Nextel</w:t>
            </w:r>
          </w:p>
        </w:tc>
      </w:tr>
      <w:tr w:rsidR="000B3230" w14:paraId="5D9E293B" w14:textId="77777777">
        <w:tblPrEx>
          <w:tblCellMar>
            <w:top w:w="0" w:type="dxa"/>
            <w:bottom w:w="0" w:type="dxa"/>
          </w:tblCellMar>
        </w:tblPrEx>
        <w:trPr>
          <w:gridAfter w:val="1"/>
          <w:wAfter w:w="12" w:type="dxa"/>
          <w:trHeight w:val="319"/>
        </w:trPr>
        <w:tc>
          <w:tcPr>
            <w:tcW w:w="1758" w:type="dxa"/>
          </w:tcPr>
          <w:p w14:paraId="3A3A9A93" w14:textId="77777777" w:rsidR="000B3230" w:rsidRPr="00316E7F" w:rsidRDefault="000B3230" w:rsidP="007965CB">
            <w:smartTag w:uri="urn:schemas-microsoft-com:office:smarttags" w:element="City">
              <w:smartTag w:uri="urn:schemas-microsoft-com:office:smarttags" w:element="place">
                <w:r w:rsidRPr="00316E7F">
                  <w:t>Nancy</w:t>
                </w:r>
              </w:smartTag>
            </w:smartTag>
            <w:r w:rsidRPr="00316E7F">
              <w:t xml:space="preserve"> Sanders</w:t>
            </w:r>
          </w:p>
        </w:tc>
        <w:tc>
          <w:tcPr>
            <w:tcW w:w="2590" w:type="dxa"/>
          </w:tcPr>
          <w:p w14:paraId="7548CC6C" w14:textId="77777777" w:rsidR="000B3230" w:rsidRPr="00316E7F" w:rsidRDefault="000B3230" w:rsidP="007965CB">
            <w:r w:rsidRPr="00316E7F">
              <w:t>Comcast</w:t>
            </w:r>
          </w:p>
        </w:tc>
        <w:tc>
          <w:tcPr>
            <w:tcW w:w="2590" w:type="dxa"/>
            <w:gridSpan w:val="2"/>
          </w:tcPr>
          <w:p w14:paraId="04D72EF8" w14:textId="77777777" w:rsidR="000B3230" w:rsidRPr="00316E7F" w:rsidRDefault="000B3230" w:rsidP="007965CB">
            <w:r w:rsidRPr="00316E7F">
              <w:t>Michael Klappa</w:t>
            </w:r>
          </w:p>
        </w:tc>
        <w:tc>
          <w:tcPr>
            <w:tcW w:w="2590" w:type="dxa"/>
          </w:tcPr>
          <w:p w14:paraId="4E318A94" w14:textId="77777777" w:rsidR="000B3230" w:rsidRPr="00316E7F" w:rsidRDefault="000B3230" w:rsidP="007965CB">
            <w:r w:rsidRPr="00316E7F">
              <w:t>Sprint Nextel</w:t>
            </w:r>
          </w:p>
        </w:tc>
      </w:tr>
      <w:tr w:rsidR="000B3230" w14:paraId="67B0FEF7" w14:textId="77777777">
        <w:tblPrEx>
          <w:tblCellMar>
            <w:top w:w="0" w:type="dxa"/>
            <w:bottom w:w="0" w:type="dxa"/>
          </w:tblCellMar>
        </w:tblPrEx>
        <w:trPr>
          <w:gridAfter w:val="1"/>
          <w:wAfter w:w="12" w:type="dxa"/>
          <w:trHeight w:val="319"/>
        </w:trPr>
        <w:tc>
          <w:tcPr>
            <w:tcW w:w="1758" w:type="dxa"/>
          </w:tcPr>
          <w:p w14:paraId="17A091A1" w14:textId="77777777" w:rsidR="000B3230" w:rsidRPr="00316E7F" w:rsidRDefault="000B3230" w:rsidP="007965CB">
            <w:r>
              <w:t>Chris West</w:t>
            </w:r>
          </w:p>
        </w:tc>
        <w:tc>
          <w:tcPr>
            <w:tcW w:w="2590" w:type="dxa"/>
          </w:tcPr>
          <w:p w14:paraId="05FF9520" w14:textId="77777777" w:rsidR="000B3230" w:rsidRPr="00316E7F" w:rsidRDefault="000B3230" w:rsidP="007965CB">
            <w:r>
              <w:t>Comcast</w:t>
            </w:r>
          </w:p>
        </w:tc>
        <w:tc>
          <w:tcPr>
            <w:tcW w:w="2590" w:type="dxa"/>
            <w:gridSpan w:val="2"/>
          </w:tcPr>
          <w:p w14:paraId="3908929D" w14:textId="77777777" w:rsidR="000B3230" w:rsidRPr="00316E7F" w:rsidRDefault="000B3230" w:rsidP="007565C5">
            <w:r>
              <w:t>Lavinia Rotaru</w:t>
            </w:r>
          </w:p>
        </w:tc>
        <w:tc>
          <w:tcPr>
            <w:tcW w:w="2590" w:type="dxa"/>
          </w:tcPr>
          <w:p w14:paraId="18ED6E66" w14:textId="77777777" w:rsidR="000B3230" w:rsidRPr="00316E7F" w:rsidRDefault="000B3230" w:rsidP="007565C5">
            <w:r>
              <w:t>Sprint Nextel</w:t>
            </w:r>
          </w:p>
        </w:tc>
      </w:tr>
      <w:tr w:rsidR="000B3230" w14:paraId="210D7F20" w14:textId="77777777">
        <w:tblPrEx>
          <w:tblCellMar>
            <w:top w:w="0" w:type="dxa"/>
            <w:bottom w:w="0" w:type="dxa"/>
          </w:tblCellMar>
        </w:tblPrEx>
        <w:trPr>
          <w:gridAfter w:val="1"/>
          <w:wAfter w:w="12" w:type="dxa"/>
          <w:trHeight w:val="319"/>
        </w:trPr>
        <w:tc>
          <w:tcPr>
            <w:tcW w:w="1758" w:type="dxa"/>
          </w:tcPr>
          <w:p w14:paraId="0C32479D" w14:textId="77777777" w:rsidR="000B3230" w:rsidRPr="00316E7F" w:rsidRDefault="000B3230" w:rsidP="007965CB">
            <w:r w:rsidRPr="00316E7F">
              <w:t>Chris Brown</w:t>
            </w:r>
          </w:p>
        </w:tc>
        <w:tc>
          <w:tcPr>
            <w:tcW w:w="2590" w:type="dxa"/>
          </w:tcPr>
          <w:p w14:paraId="7FF20B80" w14:textId="77777777" w:rsidR="000B3230" w:rsidRPr="00316E7F" w:rsidRDefault="000B3230" w:rsidP="007965CB">
            <w:r w:rsidRPr="00316E7F">
              <w:t>Cox</w:t>
            </w:r>
          </w:p>
        </w:tc>
        <w:tc>
          <w:tcPr>
            <w:tcW w:w="2590" w:type="dxa"/>
            <w:gridSpan w:val="2"/>
          </w:tcPr>
          <w:p w14:paraId="03B039EB" w14:textId="77777777" w:rsidR="000B3230" w:rsidRPr="00316E7F" w:rsidRDefault="000B3230" w:rsidP="007965CB">
            <w:r>
              <w:t>Carol Zimmerman</w:t>
            </w:r>
          </w:p>
        </w:tc>
        <w:tc>
          <w:tcPr>
            <w:tcW w:w="2590" w:type="dxa"/>
          </w:tcPr>
          <w:p w14:paraId="1AAAAF23" w14:textId="77777777" w:rsidR="000B3230" w:rsidRPr="00316E7F" w:rsidRDefault="000B3230" w:rsidP="007965CB">
            <w:r>
              <w:t>Synchronoss</w:t>
            </w:r>
          </w:p>
        </w:tc>
      </w:tr>
      <w:tr w:rsidR="000B3230" w14:paraId="74A313F1" w14:textId="77777777">
        <w:tblPrEx>
          <w:tblCellMar>
            <w:top w:w="0" w:type="dxa"/>
            <w:bottom w:w="0" w:type="dxa"/>
          </w:tblCellMar>
        </w:tblPrEx>
        <w:trPr>
          <w:gridAfter w:val="1"/>
          <w:wAfter w:w="12" w:type="dxa"/>
          <w:trHeight w:val="319"/>
        </w:trPr>
        <w:tc>
          <w:tcPr>
            <w:tcW w:w="1758" w:type="dxa"/>
          </w:tcPr>
          <w:p w14:paraId="1DD2A4F3" w14:textId="77777777" w:rsidR="000B3230" w:rsidRPr="00316E7F" w:rsidRDefault="000B3230" w:rsidP="007965CB">
            <w:r>
              <w:t>Ida Bourne</w:t>
            </w:r>
          </w:p>
        </w:tc>
        <w:tc>
          <w:tcPr>
            <w:tcW w:w="2590" w:type="dxa"/>
          </w:tcPr>
          <w:p w14:paraId="350ECC34" w14:textId="77777777" w:rsidR="000B3230" w:rsidRPr="00316E7F" w:rsidRDefault="000B3230" w:rsidP="007965CB">
            <w:r>
              <w:t>Cox</w:t>
            </w:r>
          </w:p>
        </w:tc>
        <w:tc>
          <w:tcPr>
            <w:tcW w:w="2590" w:type="dxa"/>
            <w:gridSpan w:val="2"/>
          </w:tcPr>
          <w:p w14:paraId="13BCBD23" w14:textId="77777777" w:rsidR="000B3230" w:rsidRPr="00316E7F" w:rsidRDefault="000B3230" w:rsidP="007965CB">
            <w:r>
              <w:t>Rosalee Pinnock</w:t>
            </w:r>
          </w:p>
        </w:tc>
        <w:tc>
          <w:tcPr>
            <w:tcW w:w="2590" w:type="dxa"/>
          </w:tcPr>
          <w:p w14:paraId="4AB09DD0" w14:textId="77777777" w:rsidR="000B3230" w:rsidRPr="00316E7F" w:rsidRDefault="000B3230" w:rsidP="007965CB">
            <w:r>
              <w:t>Syniverse</w:t>
            </w:r>
          </w:p>
        </w:tc>
      </w:tr>
      <w:tr w:rsidR="000B3230" w14:paraId="757B052D" w14:textId="77777777">
        <w:tblPrEx>
          <w:tblCellMar>
            <w:top w:w="0" w:type="dxa"/>
            <w:bottom w:w="0" w:type="dxa"/>
          </w:tblCellMar>
        </w:tblPrEx>
        <w:trPr>
          <w:gridAfter w:val="1"/>
          <w:wAfter w:w="12" w:type="dxa"/>
          <w:trHeight w:val="319"/>
        </w:trPr>
        <w:tc>
          <w:tcPr>
            <w:tcW w:w="1758" w:type="dxa"/>
          </w:tcPr>
          <w:p w14:paraId="2F410D85" w14:textId="77777777" w:rsidR="000B3230" w:rsidRPr="00316E7F" w:rsidRDefault="000B3230" w:rsidP="007965CB">
            <w:r w:rsidRPr="00316E7F">
              <w:t>Vicki Goth</w:t>
            </w:r>
          </w:p>
        </w:tc>
        <w:tc>
          <w:tcPr>
            <w:tcW w:w="2590" w:type="dxa"/>
          </w:tcPr>
          <w:p w14:paraId="6DB082A7" w14:textId="77777777" w:rsidR="000B3230" w:rsidRPr="00316E7F" w:rsidRDefault="000B3230" w:rsidP="007965CB">
            <w:r w:rsidRPr="00316E7F">
              <w:t>Embarq</w:t>
            </w:r>
          </w:p>
        </w:tc>
        <w:tc>
          <w:tcPr>
            <w:tcW w:w="2590" w:type="dxa"/>
            <w:gridSpan w:val="2"/>
          </w:tcPr>
          <w:p w14:paraId="27912A9E" w14:textId="77777777" w:rsidR="000B3230" w:rsidRPr="00316E7F" w:rsidRDefault="000B3230" w:rsidP="007965CB">
            <w:r>
              <w:t>Joel Zamlong</w:t>
            </w:r>
          </w:p>
        </w:tc>
        <w:tc>
          <w:tcPr>
            <w:tcW w:w="2590" w:type="dxa"/>
          </w:tcPr>
          <w:p w14:paraId="071CC33F" w14:textId="77777777" w:rsidR="000B3230" w:rsidRPr="00316E7F" w:rsidRDefault="000B3230" w:rsidP="007965CB">
            <w:r>
              <w:t>Telcordia</w:t>
            </w:r>
          </w:p>
        </w:tc>
      </w:tr>
      <w:tr w:rsidR="000B3230" w14:paraId="76A5831F" w14:textId="77777777">
        <w:tblPrEx>
          <w:tblCellMar>
            <w:top w:w="0" w:type="dxa"/>
            <w:bottom w:w="0" w:type="dxa"/>
          </w:tblCellMar>
        </w:tblPrEx>
        <w:trPr>
          <w:gridAfter w:val="1"/>
          <w:wAfter w:w="12" w:type="dxa"/>
          <w:trHeight w:val="319"/>
        </w:trPr>
        <w:tc>
          <w:tcPr>
            <w:tcW w:w="1758" w:type="dxa"/>
          </w:tcPr>
          <w:p w14:paraId="0B827F85" w14:textId="77777777" w:rsidR="000B3230" w:rsidRPr="00316E7F" w:rsidRDefault="000B3230" w:rsidP="007965CB">
            <w:r w:rsidRPr="00316E7F">
              <w:t>Greg Council</w:t>
            </w:r>
          </w:p>
        </w:tc>
        <w:tc>
          <w:tcPr>
            <w:tcW w:w="2590" w:type="dxa"/>
          </w:tcPr>
          <w:p w14:paraId="2862C1A6" w14:textId="77777777" w:rsidR="000B3230" w:rsidRPr="00316E7F" w:rsidRDefault="000B3230" w:rsidP="007965CB">
            <w:r w:rsidRPr="00316E7F">
              <w:t>Evolving Systems</w:t>
            </w:r>
          </w:p>
        </w:tc>
        <w:tc>
          <w:tcPr>
            <w:tcW w:w="2590" w:type="dxa"/>
            <w:gridSpan w:val="2"/>
          </w:tcPr>
          <w:p w14:paraId="6FABB6D9" w14:textId="77777777" w:rsidR="000B3230" w:rsidRPr="00316E7F" w:rsidRDefault="000B3230" w:rsidP="007965CB">
            <w:r w:rsidRPr="00316E7F">
              <w:t>Adam Newman</w:t>
            </w:r>
          </w:p>
        </w:tc>
        <w:tc>
          <w:tcPr>
            <w:tcW w:w="2590" w:type="dxa"/>
          </w:tcPr>
          <w:p w14:paraId="29928FDB" w14:textId="77777777" w:rsidR="000B3230" w:rsidRPr="00316E7F" w:rsidRDefault="000B3230" w:rsidP="007965CB">
            <w:r w:rsidRPr="00316E7F">
              <w:t>Telcordia</w:t>
            </w:r>
          </w:p>
        </w:tc>
      </w:tr>
      <w:tr w:rsidR="000B3230" w14:paraId="7987FFE4" w14:textId="77777777">
        <w:tblPrEx>
          <w:tblCellMar>
            <w:top w:w="0" w:type="dxa"/>
            <w:bottom w:w="0" w:type="dxa"/>
          </w:tblCellMar>
        </w:tblPrEx>
        <w:trPr>
          <w:gridAfter w:val="1"/>
          <w:wAfter w:w="12" w:type="dxa"/>
          <w:trHeight w:val="319"/>
        </w:trPr>
        <w:tc>
          <w:tcPr>
            <w:tcW w:w="1758" w:type="dxa"/>
          </w:tcPr>
          <w:p w14:paraId="46A42FCD" w14:textId="77777777" w:rsidR="000B3230" w:rsidRPr="00316E7F" w:rsidRDefault="000B3230" w:rsidP="007965CB">
            <w:r>
              <w:t>Beth O’Donnell</w:t>
            </w:r>
          </w:p>
        </w:tc>
        <w:tc>
          <w:tcPr>
            <w:tcW w:w="2590" w:type="dxa"/>
          </w:tcPr>
          <w:p w14:paraId="23CAA8E9" w14:textId="77777777" w:rsidR="000B3230" w:rsidRPr="00316E7F" w:rsidRDefault="000B3230" w:rsidP="007965CB">
            <w:r>
              <w:t>GCI</w:t>
            </w:r>
          </w:p>
        </w:tc>
        <w:tc>
          <w:tcPr>
            <w:tcW w:w="2590" w:type="dxa"/>
            <w:gridSpan w:val="2"/>
          </w:tcPr>
          <w:p w14:paraId="30BEB987" w14:textId="77777777" w:rsidR="000B3230" w:rsidRPr="00316E7F" w:rsidRDefault="000B3230" w:rsidP="007965CB">
            <w:r w:rsidRPr="00316E7F">
              <w:t>Pat White</w:t>
            </w:r>
          </w:p>
        </w:tc>
        <w:tc>
          <w:tcPr>
            <w:tcW w:w="2590" w:type="dxa"/>
          </w:tcPr>
          <w:p w14:paraId="1FE04371" w14:textId="77777777" w:rsidR="000B3230" w:rsidRPr="00316E7F" w:rsidRDefault="000B3230" w:rsidP="007965CB">
            <w:r w:rsidRPr="00316E7F">
              <w:t>Telcordia</w:t>
            </w:r>
          </w:p>
        </w:tc>
      </w:tr>
      <w:tr w:rsidR="000B3230" w14:paraId="17C60C21" w14:textId="77777777">
        <w:tblPrEx>
          <w:tblCellMar>
            <w:top w:w="0" w:type="dxa"/>
            <w:bottom w:w="0" w:type="dxa"/>
          </w:tblCellMar>
        </w:tblPrEx>
        <w:trPr>
          <w:gridAfter w:val="1"/>
          <w:wAfter w:w="12" w:type="dxa"/>
          <w:trHeight w:val="319"/>
        </w:trPr>
        <w:tc>
          <w:tcPr>
            <w:tcW w:w="1758" w:type="dxa"/>
          </w:tcPr>
          <w:p w14:paraId="7170D6B8" w14:textId="77777777" w:rsidR="000B3230" w:rsidRPr="00316E7F" w:rsidRDefault="000B3230" w:rsidP="007965CB">
            <w:r w:rsidRPr="00316E7F">
              <w:t>Therese Mooney</w:t>
            </w:r>
          </w:p>
        </w:tc>
        <w:tc>
          <w:tcPr>
            <w:tcW w:w="2590" w:type="dxa"/>
          </w:tcPr>
          <w:p w14:paraId="10EA4BA8" w14:textId="77777777" w:rsidR="000B3230" w:rsidRPr="00316E7F" w:rsidRDefault="000B3230" w:rsidP="007965CB">
            <w:r w:rsidRPr="00316E7F">
              <w:t>Global Crossing</w:t>
            </w:r>
          </w:p>
        </w:tc>
        <w:tc>
          <w:tcPr>
            <w:tcW w:w="2590" w:type="dxa"/>
            <w:gridSpan w:val="2"/>
          </w:tcPr>
          <w:p w14:paraId="0765146C" w14:textId="77777777" w:rsidR="000B3230" w:rsidRPr="00316E7F" w:rsidRDefault="000B3230" w:rsidP="007965CB">
            <w:r>
              <w:t>John Malyar</w:t>
            </w:r>
          </w:p>
        </w:tc>
        <w:tc>
          <w:tcPr>
            <w:tcW w:w="2590" w:type="dxa"/>
          </w:tcPr>
          <w:p w14:paraId="4BCD230A" w14:textId="77777777" w:rsidR="000B3230" w:rsidRPr="00316E7F" w:rsidRDefault="000B3230" w:rsidP="007965CB">
            <w:r>
              <w:t>Telcordia</w:t>
            </w:r>
          </w:p>
        </w:tc>
      </w:tr>
      <w:tr w:rsidR="000B3230" w14:paraId="57E4E873" w14:textId="77777777">
        <w:tblPrEx>
          <w:tblCellMar>
            <w:top w:w="0" w:type="dxa"/>
            <w:bottom w:w="0" w:type="dxa"/>
          </w:tblCellMar>
        </w:tblPrEx>
        <w:trPr>
          <w:gridAfter w:val="1"/>
          <w:wAfter w:w="12" w:type="dxa"/>
          <w:trHeight w:val="319"/>
        </w:trPr>
        <w:tc>
          <w:tcPr>
            <w:tcW w:w="1758" w:type="dxa"/>
          </w:tcPr>
          <w:p w14:paraId="23CC0B22" w14:textId="77777777" w:rsidR="000B3230" w:rsidRPr="00316E7F" w:rsidRDefault="000B3230" w:rsidP="007965CB">
            <w:r w:rsidRPr="00316E7F">
              <w:t xml:space="preserve">Dave Garner </w:t>
            </w:r>
          </w:p>
        </w:tc>
        <w:tc>
          <w:tcPr>
            <w:tcW w:w="2590" w:type="dxa"/>
          </w:tcPr>
          <w:p w14:paraId="65D3D338" w14:textId="77777777" w:rsidR="000B3230" w:rsidRPr="00316E7F" w:rsidRDefault="000B3230" w:rsidP="007965CB">
            <w:proofErr w:type="spellStart"/>
            <w:r w:rsidRPr="00316E7F">
              <w:t>NeuStar</w:t>
            </w:r>
            <w:proofErr w:type="spellEnd"/>
          </w:p>
        </w:tc>
        <w:tc>
          <w:tcPr>
            <w:tcW w:w="2590" w:type="dxa"/>
            <w:gridSpan w:val="2"/>
          </w:tcPr>
          <w:p w14:paraId="0A5AEA35" w14:textId="77777777" w:rsidR="000B3230" w:rsidRPr="00316E7F" w:rsidRDefault="000B3230" w:rsidP="007565C5">
            <w:r>
              <w:t>Lisa Marie Maxson</w:t>
            </w:r>
          </w:p>
        </w:tc>
        <w:tc>
          <w:tcPr>
            <w:tcW w:w="2590" w:type="dxa"/>
          </w:tcPr>
          <w:p w14:paraId="5CD7A514" w14:textId="77777777" w:rsidR="000B3230" w:rsidRPr="00316E7F" w:rsidRDefault="000B3230" w:rsidP="007565C5">
            <w:r>
              <w:t>Telcordia</w:t>
            </w:r>
          </w:p>
        </w:tc>
      </w:tr>
      <w:tr w:rsidR="000B3230" w14:paraId="03B8BD1D" w14:textId="77777777">
        <w:tblPrEx>
          <w:tblCellMar>
            <w:top w:w="0" w:type="dxa"/>
            <w:bottom w:w="0" w:type="dxa"/>
          </w:tblCellMar>
        </w:tblPrEx>
        <w:trPr>
          <w:gridAfter w:val="1"/>
          <w:wAfter w:w="12" w:type="dxa"/>
          <w:trHeight w:val="319"/>
        </w:trPr>
        <w:tc>
          <w:tcPr>
            <w:tcW w:w="1758" w:type="dxa"/>
          </w:tcPr>
          <w:p w14:paraId="03B66B1C" w14:textId="77777777" w:rsidR="000B3230" w:rsidRPr="00316E7F" w:rsidRDefault="000B3230" w:rsidP="007965CB">
            <w:r w:rsidRPr="00316E7F">
              <w:t>John Nakamura</w:t>
            </w:r>
          </w:p>
        </w:tc>
        <w:tc>
          <w:tcPr>
            <w:tcW w:w="2590" w:type="dxa"/>
          </w:tcPr>
          <w:p w14:paraId="0837B0CC" w14:textId="77777777" w:rsidR="000B3230" w:rsidRPr="00316E7F" w:rsidRDefault="000B3230" w:rsidP="007965CB">
            <w:proofErr w:type="spellStart"/>
            <w:r w:rsidRPr="00316E7F">
              <w:t>NeuStar</w:t>
            </w:r>
            <w:proofErr w:type="spellEnd"/>
          </w:p>
        </w:tc>
        <w:tc>
          <w:tcPr>
            <w:tcW w:w="2590" w:type="dxa"/>
            <w:gridSpan w:val="2"/>
          </w:tcPr>
          <w:p w14:paraId="5B86283F" w14:textId="77777777" w:rsidR="000B3230" w:rsidRPr="00316E7F" w:rsidRDefault="000B3230" w:rsidP="007965CB">
            <w:r w:rsidRPr="00316E7F">
              <w:t>Mohamed Samater</w:t>
            </w:r>
          </w:p>
        </w:tc>
        <w:tc>
          <w:tcPr>
            <w:tcW w:w="2590" w:type="dxa"/>
          </w:tcPr>
          <w:p w14:paraId="44C2E42F" w14:textId="77777777" w:rsidR="000B3230" w:rsidRPr="00316E7F" w:rsidRDefault="000B3230" w:rsidP="007965CB">
            <w:r w:rsidRPr="00316E7F">
              <w:t>T-Mobile</w:t>
            </w:r>
          </w:p>
        </w:tc>
      </w:tr>
      <w:tr w:rsidR="000B3230" w14:paraId="6695A065" w14:textId="77777777">
        <w:tblPrEx>
          <w:tblCellMar>
            <w:top w:w="0" w:type="dxa"/>
            <w:bottom w:w="0" w:type="dxa"/>
          </w:tblCellMar>
        </w:tblPrEx>
        <w:trPr>
          <w:gridAfter w:val="1"/>
          <w:wAfter w:w="12" w:type="dxa"/>
          <w:trHeight w:val="319"/>
        </w:trPr>
        <w:tc>
          <w:tcPr>
            <w:tcW w:w="1758" w:type="dxa"/>
          </w:tcPr>
          <w:p w14:paraId="613BB370" w14:textId="77777777" w:rsidR="000B3230" w:rsidRPr="00316E7F" w:rsidRDefault="000B3230" w:rsidP="007965CB">
            <w:r w:rsidRPr="00316E7F">
              <w:t>Paul LaGattuta</w:t>
            </w:r>
          </w:p>
        </w:tc>
        <w:tc>
          <w:tcPr>
            <w:tcW w:w="2590" w:type="dxa"/>
          </w:tcPr>
          <w:p w14:paraId="4A5FA87A" w14:textId="77777777" w:rsidR="000B3230" w:rsidRPr="00316E7F" w:rsidRDefault="000B3230" w:rsidP="007965CB">
            <w:proofErr w:type="spellStart"/>
            <w:r w:rsidRPr="00316E7F">
              <w:t>NeuStar</w:t>
            </w:r>
            <w:proofErr w:type="spellEnd"/>
          </w:p>
        </w:tc>
        <w:tc>
          <w:tcPr>
            <w:tcW w:w="2590" w:type="dxa"/>
            <w:gridSpan w:val="2"/>
          </w:tcPr>
          <w:p w14:paraId="52CF3386" w14:textId="77777777" w:rsidR="000B3230" w:rsidRPr="00316E7F" w:rsidRDefault="000B3230" w:rsidP="007965CB">
            <w:r w:rsidRPr="00316E7F">
              <w:t>Paula Jordan</w:t>
            </w:r>
          </w:p>
        </w:tc>
        <w:tc>
          <w:tcPr>
            <w:tcW w:w="2590" w:type="dxa"/>
          </w:tcPr>
          <w:p w14:paraId="71F88866" w14:textId="77777777" w:rsidR="000B3230" w:rsidRPr="00316E7F" w:rsidRDefault="000B3230" w:rsidP="007965CB">
            <w:r w:rsidRPr="00316E7F">
              <w:t>T-Mobile</w:t>
            </w:r>
          </w:p>
        </w:tc>
      </w:tr>
      <w:tr w:rsidR="000B3230" w14:paraId="6C5A67E5" w14:textId="77777777">
        <w:tblPrEx>
          <w:tblCellMar>
            <w:top w:w="0" w:type="dxa"/>
            <w:bottom w:w="0" w:type="dxa"/>
          </w:tblCellMar>
        </w:tblPrEx>
        <w:trPr>
          <w:gridAfter w:val="1"/>
          <w:wAfter w:w="12" w:type="dxa"/>
          <w:trHeight w:val="319"/>
        </w:trPr>
        <w:tc>
          <w:tcPr>
            <w:tcW w:w="1758" w:type="dxa"/>
          </w:tcPr>
          <w:p w14:paraId="15373FE6" w14:textId="77777777" w:rsidR="000B3230" w:rsidRPr="00316E7F" w:rsidRDefault="000B3230" w:rsidP="007965CB">
            <w:r w:rsidRPr="00316E7F">
              <w:t>Jim Rooks</w:t>
            </w:r>
          </w:p>
        </w:tc>
        <w:tc>
          <w:tcPr>
            <w:tcW w:w="2590" w:type="dxa"/>
          </w:tcPr>
          <w:p w14:paraId="039B220A" w14:textId="77777777" w:rsidR="000B3230" w:rsidRPr="00316E7F" w:rsidRDefault="000B3230" w:rsidP="007965CB">
            <w:proofErr w:type="spellStart"/>
            <w:r w:rsidRPr="00316E7F">
              <w:t>NeuStar</w:t>
            </w:r>
            <w:proofErr w:type="spellEnd"/>
          </w:p>
        </w:tc>
        <w:tc>
          <w:tcPr>
            <w:tcW w:w="2590" w:type="dxa"/>
            <w:gridSpan w:val="2"/>
          </w:tcPr>
          <w:p w14:paraId="7175980C" w14:textId="77777777" w:rsidR="000B3230" w:rsidRPr="00316E7F" w:rsidRDefault="000B3230" w:rsidP="007965CB">
            <w:r w:rsidRPr="00316E7F">
              <w:t>Chipp Nelson</w:t>
            </w:r>
          </w:p>
        </w:tc>
        <w:tc>
          <w:tcPr>
            <w:tcW w:w="2590" w:type="dxa"/>
          </w:tcPr>
          <w:p w14:paraId="4756E9F6" w14:textId="77777777" w:rsidR="000B3230" w:rsidRPr="00316E7F" w:rsidRDefault="000B3230" w:rsidP="007965CB">
            <w:r w:rsidRPr="00316E7F">
              <w:t>VeriSign</w:t>
            </w:r>
          </w:p>
        </w:tc>
      </w:tr>
      <w:tr w:rsidR="000B3230" w14:paraId="4EA9A3E1" w14:textId="77777777">
        <w:tblPrEx>
          <w:tblCellMar>
            <w:top w:w="0" w:type="dxa"/>
            <w:bottom w:w="0" w:type="dxa"/>
          </w:tblCellMar>
        </w:tblPrEx>
        <w:trPr>
          <w:gridAfter w:val="1"/>
          <w:wAfter w:w="12" w:type="dxa"/>
          <w:trHeight w:val="319"/>
        </w:trPr>
        <w:tc>
          <w:tcPr>
            <w:tcW w:w="1758" w:type="dxa"/>
          </w:tcPr>
          <w:p w14:paraId="63509AC0" w14:textId="77777777" w:rsidR="000B3230" w:rsidRPr="00316E7F" w:rsidRDefault="000B3230" w:rsidP="007965CB">
            <w:r w:rsidRPr="00316E7F">
              <w:t>Stephen Addicks</w:t>
            </w:r>
          </w:p>
        </w:tc>
        <w:tc>
          <w:tcPr>
            <w:tcW w:w="2590" w:type="dxa"/>
          </w:tcPr>
          <w:p w14:paraId="264D9A95" w14:textId="77777777" w:rsidR="000B3230" w:rsidRPr="00316E7F" w:rsidRDefault="000B3230" w:rsidP="007965CB">
            <w:proofErr w:type="spellStart"/>
            <w:r w:rsidRPr="00316E7F">
              <w:t>NeuStar</w:t>
            </w:r>
            <w:proofErr w:type="spellEnd"/>
            <w:r w:rsidRPr="00316E7F">
              <w:t xml:space="preserve"> </w:t>
            </w:r>
          </w:p>
        </w:tc>
        <w:tc>
          <w:tcPr>
            <w:tcW w:w="2590" w:type="dxa"/>
            <w:gridSpan w:val="2"/>
          </w:tcPr>
          <w:p w14:paraId="0A301003" w14:textId="77777777" w:rsidR="000B3230" w:rsidRPr="00316E7F" w:rsidRDefault="000B3230" w:rsidP="007965CB">
            <w:smartTag w:uri="urn:schemas-microsoft-com:office:smarttags" w:element="City">
              <w:smartTag w:uri="urn:schemas-microsoft-com:office:smarttags" w:element="place">
                <w:r w:rsidRPr="00316E7F">
                  <w:t>Gary</w:t>
                </w:r>
              </w:smartTag>
            </w:smartTag>
            <w:r w:rsidRPr="00316E7F">
              <w:t xml:space="preserve"> Sacra</w:t>
            </w:r>
          </w:p>
        </w:tc>
        <w:tc>
          <w:tcPr>
            <w:tcW w:w="2590" w:type="dxa"/>
          </w:tcPr>
          <w:p w14:paraId="70E2FA4F" w14:textId="77777777" w:rsidR="000B3230" w:rsidRPr="00316E7F" w:rsidRDefault="000B3230" w:rsidP="007965CB">
            <w:r w:rsidRPr="00316E7F">
              <w:t>Verizon</w:t>
            </w:r>
          </w:p>
        </w:tc>
      </w:tr>
      <w:tr w:rsidR="000B3230" w14:paraId="49B57421" w14:textId="77777777">
        <w:tblPrEx>
          <w:tblCellMar>
            <w:top w:w="0" w:type="dxa"/>
            <w:bottom w:w="0" w:type="dxa"/>
          </w:tblCellMar>
        </w:tblPrEx>
        <w:trPr>
          <w:gridAfter w:val="1"/>
          <w:wAfter w:w="12" w:type="dxa"/>
          <w:trHeight w:val="319"/>
        </w:trPr>
        <w:tc>
          <w:tcPr>
            <w:tcW w:w="1758" w:type="dxa"/>
          </w:tcPr>
          <w:p w14:paraId="5D00E041" w14:textId="77777777" w:rsidR="000B3230" w:rsidRPr="00316E7F" w:rsidRDefault="000B3230" w:rsidP="007965CB">
            <w:r w:rsidRPr="00316E7F">
              <w:t>Marcel Champagne</w:t>
            </w:r>
          </w:p>
        </w:tc>
        <w:tc>
          <w:tcPr>
            <w:tcW w:w="2590" w:type="dxa"/>
          </w:tcPr>
          <w:p w14:paraId="05A7FE93" w14:textId="77777777" w:rsidR="000B3230" w:rsidRPr="00316E7F" w:rsidRDefault="000B3230" w:rsidP="007965CB">
            <w:proofErr w:type="spellStart"/>
            <w:r w:rsidRPr="00316E7F">
              <w:t>NeuStar</w:t>
            </w:r>
            <w:proofErr w:type="spellEnd"/>
          </w:p>
        </w:tc>
        <w:tc>
          <w:tcPr>
            <w:tcW w:w="2590" w:type="dxa"/>
            <w:gridSpan w:val="2"/>
          </w:tcPr>
          <w:p w14:paraId="18DE0287" w14:textId="77777777" w:rsidR="000B3230" w:rsidRPr="00316E7F" w:rsidRDefault="000B3230" w:rsidP="007965CB">
            <w:r w:rsidRPr="00316E7F">
              <w:t>Jason Lee</w:t>
            </w:r>
          </w:p>
        </w:tc>
        <w:tc>
          <w:tcPr>
            <w:tcW w:w="2590" w:type="dxa"/>
          </w:tcPr>
          <w:p w14:paraId="1813C691" w14:textId="77777777" w:rsidR="000B3230" w:rsidRPr="00316E7F" w:rsidRDefault="000B3230" w:rsidP="007965CB">
            <w:r w:rsidRPr="00316E7F">
              <w:t>Verizon</w:t>
            </w:r>
          </w:p>
        </w:tc>
      </w:tr>
      <w:tr w:rsidR="000B3230" w14:paraId="53448B2C" w14:textId="77777777">
        <w:tblPrEx>
          <w:tblCellMar>
            <w:top w:w="0" w:type="dxa"/>
            <w:bottom w:w="0" w:type="dxa"/>
          </w:tblCellMar>
        </w:tblPrEx>
        <w:trPr>
          <w:gridAfter w:val="1"/>
          <w:wAfter w:w="12" w:type="dxa"/>
          <w:trHeight w:val="319"/>
        </w:trPr>
        <w:tc>
          <w:tcPr>
            <w:tcW w:w="1758" w:type="dxa"/>
          </w:tcPr>
          <w:p w14:paraId="5134EC74" w14:textId="77777777" w:rsidR="000B3230" w:rsidRPr="00316E7F" w:rsidRDefault="000B3230" w:rsidP="007965CB">
            <w:r>
              <w:t xml:space="preserve">Bill </w:t>
            </w:r>
            <w:proofErr w:type="spellStart"/>
            <w:r>
              <w:t>Reidway</w:t>
            </w:r>
            <w:proofErr w:type="spellEnd"/>
          </w:p>
        </w:tc>
        <w:tc>
          <w:tcPr>
            <w:tcW w:w="2590" w:type="dxa"/>
          </w:tcPr>
          <w:p w14:paraId="76600F81" w14:textId="77777777" w:rsidR="000B3230" w:rsidRPr="00316E7F" w:rsidRDefault="000B3230" w:rsidP="007965CB">
            <w:proofErr w:type="spellStart"/>
            <w:r>
              <w:t>NeuStar</w:t>
            </w:r>
            <w:proofErr w:type="spellEnd"/>
          </w:p>
        </w:tc>
        <w:tc>
          <w:tcPr>
            <w:tcW w:w="2590" w:type="dxa"/>
            <w:gridSpan w:val="2"/>
          </w:tcPr>
          <w:p w14:paraId="5E3FC13F" w14:textId="77777777" w:rsidR="000B3230" w:rsidRPr="00316E7F" w:rsidRDefault="000B3230" w:rsidP="007965CB">
            <w:r w:rsidRPr="00316E7F">
              <w:t>Deb Tucker</w:t>
            </w:r>
          </w:p>
        </w:tc>
        <w:tc>
          <w:tcPr>
            <w:tcW w:w="2590" w:type="dxa"/>
          </w:tcPr>
          <w:p w14:paraId="4EE5719E" w14:textId="77777777" w:rsidR="000B3230" w:rsidRPr="00316E7F" w:rsidRDefault="000B3230" w:rsidP="007965CB">
            <w:r w:rsidRPr="00316E7F">
              <w:t>Verizon Wireless</w:t>
            </w:r>
          </w:p>
        </w:tc>
      </w:tr>
      <w:tr w:rsidR="000B3230" w14:paraId="56D65DCC" w14:textId="77777777">
        <w:tblPrEx>
          <w:tblCellMar>
            <w:top w:w="0" w:type="dxa"/>
            <w:bottom w:w="0" w:type="dxa"/>
          </w:tblCellMar>
        </w:tblPrEx>
        <w:trPr>
          <w:gridAfter w:val="1"/>
          <w:wAfter w:w="12" w:type="dxa"/>
          <w:trHeight w:val="319"/>
        </w:trPr>
        <w:tc>
          <w:tcPr>
            <w:tcW w:w="1758" w:type="dxa"/>
          </w:tcPr>
          <w:p w14:paraId="079BE97C" w14:textId="77777777" w:rsidR="000B3230" w:rsidRPr="00316E7F" w:rsidRDefault="00A80B27" w:rsidP="007565C5">
            <w:r>
              <w:t>Rhea Kwon</w:t>
            </w:r>
          </w:p>
        </w:tc>
        <w:tc>
          <w:tcPr>
            <w:tcW w:w="2590" w:type="dxa"/>
          </w:tcPr>
          <w:p w14:paraId="0358ED01" w14:textId="77777777" w:rsidR="000B3230" w:rsidRPr="00316E7F" w:rsidRDefault="00A80B27" w:rsidP="007565C5">
            <w:proofErr w:type="spellStart"/>
            <w:r>
              <w:t>NeuStar</w:t>
            </w:r>
            <w:proofErr w:type="spellEnd"/>
          </w:p>
        </w:tc>
        <w:tc>
          <w:tcPr>
            <w:tcW w:w="2590" w:type="dxa"/>
            <w:gridSpan w:val="2"/>
          </w:tcPr>
          <w:p w14:paraId="0588E043" w14:textId="77777777" w:rsidR="000B3230" w:rsidRPr="00316E7F" w:rsidRDefault="000B3230" w:rsidP="007965CB">
            <w:r w:rsidRPr="00316E7F">
              <w:t>Tom Zablocki</w:t>
            </w:r>
          </w:p>
        </w:tc>
        <w:tc>
          <w:tcPr>
            <w:tcW w:w="2590" w:type="dxa"/>
          </w:tcPr>
          <w:p w14:paraId="6F1013D9" w14:textId="77777777" w:rsidR="000B3230" w:rsidRPr="00316E7F" w:rsidRDefault="000B3230" w:rsidP="007965CB">
            <w:r w:rsidRPr="00316E7F">
              <w:t>Vonage</w:t>
            </w:r>
          </w:p>
        </w:tc>
      </w:tr>
      <w:tr w:rsidR="000B3230" w14:paraId="3B0DC4A2" w14:textId="77777777">
        <w:tblPrEx>
          <w:tblCellMar>
            <w:top w:w="0" w:type="dxa"/>
            <w:bottom w:w="0" w:type="dxa"/>
          </w:tblCellMar>
        </w:tblPrEx>
        <w:trPr>
          <w:gridAfter w:val="1"/>
          <w:wAfter w:w="12" w:type="dxa"/>
          <w:trHeight w:val="319"/>
        </w:trPr>
        <w:tc>
          <w:tcPr>
            <w:tcW w:w="1758" w:type="dxa"/>
          </w:tcPr>
          <w:p w14:paraId="78D93F96" w14:textId="77777777" w:rsidR="000B3230" w:rsidRPr="00316E7F" w:rsidRDefault="000B3230" w:rsidP="007565C5"/>
        </w:tc>
        <w:tc>
          <w:tcPr>
            <w:tcW w:w="2590" w:type="dxa"/>
          </w:tcPr>
          <w:p w14:paraId="41694D96" w14:textId="77777777" w:rsidR="000B3230" w:rsidRPr="00316E7F" w:rsidRDefault="000B3230" w:rsidP="007565C5"/>
        </w:tc>
        <w:tc>
          <w:tcPr>
            <w:tcW w:w="2590" w:type="dxa"/>
            <w:gridSpan w:val="2"/>
          </w:tcPr>
          <w:p w14:paraId="7FD24323" w14:textId="77777777" w:rsidR="000B3230" w:rsidRPr="00316E7F" w:rsidRDefault="000B3230" w:rsidP="007565C5"/>
        </w:tc>
        <w:tc>
          <w:tcPr>
            <w:tcW w:w="2590" w:type="dxa"/>
          </w:tcPr>
          <w:p w14:paraId="40669924" w14:textId="77777777" w:rsidR="000B3230" w:rsidRPr="00316E7F" w:rsidRDefault="000B3230" w:rsidP="007565C5"/>
        </w:tc>
      </w:tr>
      <w:tr w:rsidR="000B3230" w14:paraId="340668A6" w14:textId="77777777">
        <w:tblPrEx>
          <w:tblCellMar>
            <w:top w:w="0" w:type="dxa"/>
            <w:bottom w:w="0" w:type="dxa"/>
          </w:tblCellMar>
        </w:tblPrEx>
        <w:trPr>
          <w:gridAfter w:val="1"/>
          <w:wAfter w:w="12" w:type="dxa"/>
          <w:trHeight w:val="319"/>
        </w:trPr>
        <w:tc>
          <w:tcPr>
            <w:tcW w:w="1758" w:type="dxa"/>
          </w:tcPr>
          <w:p w14:paraId="1A3D4A6E" w14:textId="77777777" w:rsidR="000B3230" w:rsidRPr="00316E7F" w:rsidRDefault="000B3230" w:rsidP="00977E7A"/>
        </w:tc>
        <w:tc>
          <w:tcPr>
            <w:tcW w:w="2590" w:type="dxa"/>
          </w:tcPr>
          <w:p w14:paraId="3C5D0DB1" w14:textId="77777777" w:rsidR="000B3230" w:rsidRPr="00316E7F" w:rsidRDefault="000B3230" w:rsidP="00977E7A"/>
        </w:tc>
        <w:tc>
          <w:tcPr>
            <w:tcW w:w="2590" w:type="dxa"/>
            <w:gridSpan w:val="2"/>
          </w:tcPr>
          <w:p w14:paraId="58E30DD3" w14:textId="77777777" w:rsidR="000B3230" w:rsidRPr="00316E7F" w:rsidRDefault="000B3230" w:rsidP="007565C5"/>
        </w:tc>
        <w:tc>
          <w:tcPr>
            <w:tcW w:w="2590" w:type="dxa"/>
          </w:tcPr>
          <w:p w14:paraId="19963F48" w14:textId="77777777" w:rsidR="000B3230" w:rsidRPr="00316E7F" w:rsidRDefault="000B3230" w:rsidP="007565C5"/>
        </w:tc>
      </w:tr>
    </w:tbl>
    <w:p w14:paraId="74E98AAF" w14:textId="77777777" w:rsidR="00C324B3" w:rsidRDefault="00C324B3" w:rsidP="00AA07F9">
      <w:pPr>
        <w:rPr>
          <w:b/>
          <w:sz w:val="24"/>
        </w:rPr>
      </w:pPr>
    </w:p>
    <w:p w14:paraId="3E7A485F" w14:textId="77777777" w:rsidR="00D6058A" w:rsidRDefault="00D6058A" w:rsidP="00AA07F9">
      <w:pPr>
        <w:rPr>
          <w:sz w:val="24"/>
          <w:highlight w:val="yellow"/>
        </w:rPr>
      </w:pPr>
    </w:p>
    <w:p w14:paraId="74373475" w14:textId="77777777" w:rsidR="004164F7" w:rsidRDefault="004164F7" w:rsidP="00AA07F9">
      <w:pPr>
        <w:rPr>
          <w:sz w:val="24"/>
          <w:highlight w:val="yellow"/>
        </w:rPr>
      </w:pPr>
    </w:p>
    <w:p w14:paraId="04E46571" w14:textId="77777777" w:rsidR="004164F7" w:rsidRDefault="004164F7" w:rsidP="00AA07F9">
      <w:pPr>
        <w:rPr>
          <w:sz w:val="24"/>
          <w:highlight w:val="yellow"/>
        </w:rPr>
      </w:pPr>
    </w:p>
    <w:p w14:paraId="49145A1F" w14:textId="77777777" w:rsidR="004164F7" w:rsidRDefault="004164F7" w:rsidP="00AA07F9">
      <w:pPr>
        <w:rPr>
          <w:sz w:val="24"/>
          <w:highlight w:val="yellow"/>
        </w:rPr>
      </w:pPr>
    </w:p>
    <w:p w14:paraId="2CD22856" w14:textId="77777777" w:rsidR="004164F7" w:rsidRDefault="004164F7" w:rsidP="00AA07F9">
      <w:pPr>
        <w:rPr>
          <w:sz w:val="24"/>
          <w:highlight w:val="yellow"/>
        </w:rPr>
      </w:pPr>
    </w:p>
    <w:p w14:paraId="15623340" w14:textId="77777777" w:rsidR="00CA42CC" w:rsidRPr="00053C41" w:rsidRDefault="000B3230" w:rsidP="00763F18">
      <w:pPr>
        <w:rPr>
          <w:sz w:val="24"/>
          <w:u w:val="single"/>
        </w:rPr>
      </w:pPr>
      <w:r>
        <w:rPr>
          <w:sz w:val="24"/>
          <w:u w:val="single"/>
        </w:rPr>
        <w:lastRenderedPageBreak/>
        <w:t>2009</w:t>
      </w:r>
      <w:r w:rsidR="00053C41" w:rsidRPr="00053C41">
        <w:rPr>
          <w:sz w:val="24"/>
          <w:u w:val="single"/>
        </w:rPr>
        <w:t xml:space="preserve"> Meeting an</w:t>
      </w:r>
      <w:r w:rsidR="00053C41">
        <w:rPr>
          <w:sz w:val="24"/>
          <w:u w:val="single"/>
        </w:rPr>
        <w:t>d</w:t>
      </w:r>
      <w:r w:rsidR="00D6058A">
        <w:rPr>
          <w:sz w:val="24"/>
          <w:u w:val="single"/>
        </w:rPr>
        <w:t xml:space="preserve"> Call Schedule/Hosts/Locations</w:t>
      </w:r>
      <w:r w:rsidR="00053C41">
        <w:rPr>
          <w:sz w:val="24"/>
          <w:u w:val="single"/>
        </w:rPr>
        <w:t>:</w:t>
      </w:r>
      <w:r w:rsidR="00053C41" w:rsidRPr="00053C41">
        <w:rPr>
          <w:sz w:val="24"/>
          <w:u w:val="single"/>
        </w:rPr>
        <w:t xml:space="preserve">  </w:t>
      </w:r>
    </w:p>
    <w:p w14:paraId="7354E714" w14:textId="77777777" w:rsidR="007D605D" w:rsidRDefault="007D605D" w:rsidP="007D605D">
      <w:pPr>
        <w:rPr>
          <w:sz w:val="24"/>
        </w:rPr>
      </w:pPr>
    </w:p>
    <w:p w14:paraId="1B31D963" w14:textId="77777777" w:rsidR="007D605D" w:rsidRDefault="007D605D" w:rsidP="007D605D">
      <w:pPr>
        <w:rPr>
          <w:sz w:val="24"/>
        </w:rPr>
      </w:pPr>
      <w:r>
        <w:rPr>
          <w:sz w:val="24"/>
        </w:rPr>
        <w:t>Following is t</w:t>
      </w:r>
      <w:r w:rsidR="000B3230">
        <w:rPr>
          <w:sz w:val="24"/>
        </w:rPr>
        <w:t>he meeting schedule for the 2009</w:t>
      </w:r>
      <w:r>
        <w:rPr>
          <w:sz w:val="24"/>
        </w:rPr>
        <w:t xml:space="preserve"> LNPA WG meetings and calls.</w:t>
      </w:r>
    </w:p>
    <w:p w14:paraId="626D6CD3" w14:textId="77777777" w:rsidR="000B3230" w:rsidRPr="000B3230" w:rsidRDefault="000B3230" w:rsidP="000B323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3146"/>
        <w:gridCol w:w="1573"/>
        <w:gridCol w:w="1758"/>
      </w:tblGrid>
      <w:tr w:rsidR="000B3230" w:rsidRPr="000B3230" w14:paraId="667ABA8B" w14:textId="77777777" w:rsidTr="007965CB">
        <w:tblPrEx>
          <w:tblCellMar>
            <w:top w:w="0" w:type="dxa"/>
            <w:bottom w:w="0" w:type="dxa"/>
          </w:tblCellMar>
        </w:tblPrEx>
        <w:tc>
          <w:tcPr>
            <w:tcW w:w="0" w:type="auto"/>
          </w:tcPr>
          <w:p w14:paraId="1AF4CDE5" w14:textId="77777777" w:rsidR="000B3230" w:rsidRPr="000B3230" w:rsidRDefault="000B3230" w:rsidP="007965CB">
            <w:pPr>
              <w:jc w:val="center"/>
              <w:rPr>
                <w:b/>
                <w:sz w:val="24"/>
                <w:szCs w:val="24"/>
              </w:rPr>
            </w:pPr>
            <w:r w:rsidRPr="000B3230">
              <w:rPr>
                <w:b/>
                <w:sz w:val="24"/>
                <w:szCs w:val="24"/>
              </w:rPr>
              <w:t>MONTH/</w:t>
            </w:r>
          </w:p>
          <w:p w14:paraId="3C8B8B9B" w14:textId="77777777" w:rsidR="000B3230" w:rsidRPr="000B3230" w:rsidRDefault="000B3230" w:rsidP="007965CB">
            <w:pPr>
              <w:jc w:val="center"/>
              <w:rPr>
                <w:b/>
                <w:sz w:val="24"/>
                <w:szCs w:val="24"/>
              </w:rPr>
            </w:pPr>
            <w:r w:rsidRPr="000B3230">
              <w:rPr>
                <w:b/>
                <w:sz w:val="24"/>
                <w:szCs w:val="24"/>
              </w:rPr>
              <w:t>DATE</w:t>
            </w:r>
          </w:p>
          <w:p w14:paraId="507782BD" w14:textId="77777777" w:rsidR="000B3230" w:rsidRPr="000B3230" w:rsidRDefault="000B3230" w:rsidP="007965CB">
            <w:pPr>
              <w:jc w:val="center"/>
              <w:rPr>
                <w:sz w:val="24"/>
                <w:szCs w:val="24"/>
              </w:rPr>
            </w:pPr>
            <w:r w:rsidRPr="000B3230">
              <w:rPr>
                <w:b/>
                <w:sz w:val="24"/>
                <w:szCs w:val="24"/>
              </w:rPr>
              <w:t>(2009)</w:t>
            </w:r>
          </w:p>
        </w:tc>
        <w:tc>
          <w:tcPr>
            <w:tcW w:w="0" w:type="auto"/>
          </w:tcPr>
          <w:p w14:paraId="13DF66CD" w14:textId="77777777" w:rsidR="000B3230" w:rsidRPr="000B3230" w:rsidRDefault="000B3230" w:rsidP="007965CB">
            <w:pPr>
              <w:pStyle w:val="Heading7"/>
              <w:jc w:val="center"/>
              <w:rPr>
                <w:szCs w:val="24"/>
              </w:rPr>
            </w:pPr>
            <w:r w:rsidRPr="000B3230">
              <w:rPr>
                <w:szCs w:val="24"/>
              </w:rPr>
              <w:t>NANC</w:t>
            </w:r>
          </w:p>
        </w:tc>
        <w:tc>
          <w:tcPr>
            <w:tcW w:w="0" w:type="auto"/>
          </w:tcPr>
          <w:p w14:paraId="7C778DA7" w14:textId="77777777" w:rsidR="000B3230" w:rsidRPr="000B3230" w:rsidRDefault="000B3230" w:rsidP="007965CB">
            <w:pPr>
              <w:pStyle w:val="Heading7"/>
              <w:jc w:val="center"/>
              <w:rPr>
                <w:szCs w:val="24"/>
              </w:rPr>
            </w:pPr>
            <w:r w:rsidRPr="000B3230">
              <w:rPr>
                <w:szCs w:val="24"/>
              </w:rPr>
              <w:t>LNPA WG</w:t>
            </w:r>
          </w:p>
        </w:tc>
        <w:tc>
          <w:tcPr>
            <w:tcW w:w="0" w:type="auto"/>
          </w:tcPr>
          <w:p w14:paraId="11822EF1" w14:textId="77777777" w:rsidR="000B3230" w:rsidRPr="000B3230" w:rsidRDefault="000B3230" w:rsidP="007965CB">
            <w:pPr>
              <w:pStyle w:val="Heading9"/>
              <w:rPr>
                <w:szCs w:val="24"/>
              </w:rPr>
            </w:pPr>
            <w:r w:rsidRPr="000B3230">
              <w:rPr>
                <w:szCs w:val="24"/>
              </w:rPr>
              <w:t>HOST</w:t>
            </w:r>
          </w:p>
        </w:tc>
        <w:tc>
          <w:tcPr>
            <w:tcW w:w="0" w:type="auto"/>
          </w:tcPr>
          <w:p w14:paraId="4A4F7CFC" w14:textId="77777777" w:rsidR="000B3230" w:rsidRPr="000B3230" w:rsidRDefault="000B3230" w:rsidP="007965CB">
            <w:pPr>
              <w:pStyle w:val="Heading9"/>
              <w:rPr>
                <w:szCs w:val="24"/>
              </w:rPr>
            </w:pPr>
            <w:r w:rsidRPr="000B3230">
              <w:rPr>
                <w:szCs w:val="24"/>
              </w:rPr>
              <w:t>LOCATION</w:t>
            </w:r>
          </w:p>
        </w:tc>
      </w:tr>
      <w:tr w:rsidR="000B3230" w:rsidRPr="000B3230" w14:paraId="556CE649" w14:textId="77777777" w:rsidTr="007965CB">
        <w:tblPrEx>
          <w:tblCellMar>
            <w:top w:w="0" w:type="dxa"/>
            <w:bottom w:w="0" w:type="dxa"/>
          </w:tblCellMar>
        </w:tblPrEx>
        <w:tc>
          <w:tcPr>
            <w:tcW w:w="0" w:type="auto"/>
          </w:tcPr>
          <w:p w14:paraId="0D534F06" w14:textId="77777777" w:rsidR="000B3230" w:rsidRPr="000B3230" w:rsidRDefault="000B3230" w:rsidP="007965CB">
            <w:pPr>
              <w:rPr>
                <w:sz w:val="24"/>
                <w:szCs w:val="24"/>
              </w:rPr>
            </w:pPr>
          </w:p>
        </w:tc>
        <w:tc>
          <w:tcPr>
            <w:tcW w:w="0" w:type="auto"/>
          </w:tcPr>
          <w:p w14:paraId="500B5B91" w14:textId="77777777" w:rsidR="000B3230" w:rsidRPr="000B3230" w:rsidRDefault="000B3230" w:rsidP="007965CB">
            <w:pPr>
              <w:rPr>
                <w:sz w:val="24"/>
                <w:szCs w:val="24"/>
              </w:rPr>
            </w:pPr>
          </w:p>
        </w:tc>
        <w:tc>
          <w:tcPr>
            <w:tcW w:w="0" w:type="auto"/>
          </w:tcPr>
          <w:p w14:paraId="5EC4A0F7" w14:textId="77777777" w:rsidR="000B3230" w:rsidRPr="000B3230" w:rsidRDefault="000B3230" w:rsidP="007965CB">
            <w:pPr>
              <w:rPr>
                <w:sz w:val="24"/>
                <w:szCs w:val="24"/>
              </w:rPr>
            </w:pPr>
          </w:p>
        </w:tc>
        <w:tc>
          <w:tcPr>
            <w:tcW w:w="0" w:type="auto"/>
          </w:tcPr>
          <w:p w14:paraId="38601506" w14:textId="77777777" w:rsidR="000B3230" w:rsidRPr="000B3230" w:rsidRDefault="000B3230" w:rsidP="007965CB">
            <w:pPr>
              <w:rPr>
                <w:sz w:val="24"/>
                <w:szCs w:val="24"/>
              </w:rPr>
            </w:pPr>
          </w:p>
        </w:tc>
        <w:tc>
          <w:tcPr>
            <w:tcW w:w="0" w:type="auto"/>
          </w:tcPr>
          <w:p w14:paraId="5913533B" w14:textId="77777777" w:rsidR="000B3230" w:rsidRPr="000B3230" w:rsidRDefault="000B3230" w:rsidP="007965CB">
            <w:pPr>
              <w:rPr>
                <w:sz w:val="24"/>
                <w:szCs w:val="24"/>
              </w:rPr>
            </w:pPr>
          </w:p>
        </w:tc>
      </w:tr>
      <w:tr w:rsidR="000B3230" w:rsidRPr="000B3230" w14:paraId="7FB923B4" w14:textId="77777777" w:rsidTr="007965CB">
        <w:tblPrEx>
          <w:tblCellMar>
            <w:top w:w="0" w:type="dxa"/>
            <w:bottom w:w="0" w:type="dxa"/>
          </w:tblCellMar>
        </w:tblPrEx>
        <w:tc>
          <w:tcPr>
            <w:tcW w:w="0" w:type="auto"/>
          </w:tcPr>
          <w:p w14:paraId="4DCB4EEB" w14:textId="77777777" w:rsidR="000B3230" w:rsidRPr="000B3230" w:rsidRDefault="000B3230" w:rsidP="007965CB">
            <w:pPr>
              <w:rPr>
                <w:sz w:val="24"/>
                <w:szCs w:val="24"/>
              </w:rPr>
            </w:pPr>
            <w:r w:rsidRPr="000B3230">
              <w:rPr>
                <w:sz w:val="24"/>
                <w:szCs w:val="24"/>
              </w:rPr>
              <w:t xml:space="preserve">January </w:t>
            </w:r>
          </w:p>
        </w:tc>
        <w:tc>
          <w:tcPr>
            <w:tcW w:w="0" w:type="auto"/>
          </w:tcPr>
          <w:p w14:paraId="0B9F6364" w14:textId="77777777" w:rsidR="000B3230" w:rsidRPr="000B3230" w:rsidRDefault="000B3230" w:rsidP="007965CB">
            <w:pPr>
              <w:rPr>
                <w:sz w:val="24"/>
                <w:szCs w:val="24"/>
              </w:rPr>
            </w:pPr>
            <w:r w:rsidRPr="000B3230">
              <w:rPr>
                <w:sz w:val="24"/>
                <w:szCs w:val="24"/>
              </w:rPr>
              <w:t>TBD</w:t>
            </w:r>
          </w:p>
        </w:tc>
        <w:tc>
          <w:tcPr>
            <w:tcW w:w="0" w:type="auto"/>
          </w:tcPr>
          <w:p w14:paraId="7CB4BAE2" w14:textId="77777777" w:rsidR="000B3230" w:rsidRPr="000B3230" w:rsidRDefault="000B3230" w:rsidP="007965CB">
            <w:pPr>
              <w:rPr>
                <w:sz w:val="24"/>
                <w:szCs w:val="24"/>
                <w:highlight w:val="yellow"/>
              </w:rPr>
            </w:pPr>
            <w:r w:rsidRPr="000B3230">
              <w:rPr>
                <w:sz w:val="24"/>
                <w:szCs w:val="24"/>
                <w:highlight w:val="yellow"/>
              </w:rPr>
              <w:t>7</w:t>
            </w:r>
            <w:r w:rsidRPr="000B3230">
              <w:rPr>
                <w:sz w:val="24"/>
                <w:szCs w:val="24"/>
                <w:highlight w:val="yellow"/>
                <w:vertAlign w:val="superscript"/>
              </w:rPr>
              <w:t>th</w:t>
            </w:r>
            <w:r w:rsidRPr="000B3230">
              <w:rPr>
                <w:sz w:val="24"/>
                <w:szCs w:val="24"/>
                <w:highlight w:val="yellow"/>
              </w:rPr>
              <w:t>-8</w:t>
            </w:r>
            <w:r w:rsidRPr="000B3230">
              <w:rPr>
                <w:sz w:val="24"/>
                <w:szCs w:val="24"/>
                <w:highlight w:val="yellow"/>
                <w:vertAlign w:val="superscript"/>
              </w:rPr>
              <w:t>th</w:t>
            </w:r>
            <w:r w:rsidRPr="000B3230">
              <w:rPr>
                <w:sz w:val="24"/>
                <w:szCs w:val="24"/>
                <w:highlight w:val="yellow"/>
              </w:rPr>
              <w:t xml:space="preserve"> </w:t>
            </w:r>
          </w:p>
        </w:tc>
        <w:tc>
          <w:tcPr>
            <w:tcW w:w="0" w:type="auto"/>
          </w:tcPr>
          <w:p w14:paraId="3C725BD9" w14:textId="77777777" w:rsidR="000B3230" w:rsidRPr="000B3230" w:rsidRDefault="000B3230" w:rsidP="007965CB">
            <w:pPr>
              <w:rPr>
                <w:sz w:val="24"/>
                <w:szCs w:val="24"/>
                <w:highlight w:val="red"/>
              </w:rPr>
            </w:pPr>
            <w:r w:rsidRPr="000B3230">
              <w:rPr>
                <w:sz w:val="24"/>
                <w:szCs w:val="24"/>
              </w:rPr>
              <w:t>Telcordia</w:t>
            </w:r>
          </w:p>
        </w:tc>
        <w:tc>
          <w:tcPr>
            <w:tcW w:w="0" w:type="auto"/>
          </w:tcPr>
          <w:p w14:paraId="0A3A7578" w14:textId="77777777" w:rsidR="000B3230" w:rsidRPr="000B3230" w:rsidRDefault="000B3230" w:rsidP="007965CB">
            <w:pPr>
              <w:rPr>
                <w:sz w:val="24"/>
                <w:szCs w:val="24"/>
                <w:highlight w:val="red"/>
              </w:rPr>
            </w:pPr>
            <w:smartTag w:uri="urn:schemas-microsoft-com:office:smarttags" w:element="place">
              <w:smartTag w:uri="urn:schemas-microsoft-com:office:smarttags" w:element="City">
                <w:r w:rsidRPr="000B3230">
                  <w:rPr>
                    <w:sz w:val="24"/>
                    <w:szCs w:val="24"/>
                  </w:rPr>
                  <w:t>Scottsdale</w:t>
                </w:r>
              </w:smartTag>
              <w:r w:rsidRPr="000B3230">
                <w:rPr>
                  <w:sz w:val="24"/>
                  <w:szCs w:val="24"/>
                </w:rPr>
                <w:t xml:space="preserve">, </w:t>
              </w:r>
              <w:smartTag w:uri="urn:schemas-microsoft-com:office:smarttags" w:element="State">
                <w:r w:rsidRPr="000B3230">
                  <w:rPr>
                    <w:sz w:val="24"/>
                    <w:szCs w:val="24"/>
                  </w:rPr>
                  <w:t>Arizona</w:t>
                </w:r>
              </w:smartTag>
            </w:smartTag>
          </w:p>
        </w:tc>
      </w:tr>
      <w:tr w:rsidR="000B3230" w:rsidRPr="000B3230" w14:paraId="562FA30C" w14:textId="77777777" w:rsidTr="007965CB">
        <w:tblPrEx>
          <w:tblCellMar>
            <w:top w:w="0" w:type="dxa"/>
            <w:bottom w:w="0" w:type="dxa"/>
          </w:tblCellMar>
        </w:tblPrEx>
        <w:tc>
          <w:tcPr>
            <w:tcW w:w="0" w:type="auto"/>
          </w:tcPr>
          <w:p w14:paraId="7C9BA98C" w14:textId="77777777" w:rsidR="000B3230" w:rsidRPr="000B3230" w:rsidRDefault="000B3230" w:rsidP="007965CB">
            <w:pPr>
              <w:rPr>
                <w:sz w:val="24"/>
                <w:szCs w:val="24"/>
              </w:rPr>
            </w:pPr>
            <w:r w:rsidRPr="000B3230">
              <w:rPr>
                <w:sz w:val="24"/>
                <w:szCs w:val="24"/>
              </w:rPr>
              <w:t xml:space="preserve">February </w:t>
            </w:r>
          </w:p>
        </w:tc>
        <w:tc>
          <w:tcPr>
            <w:tcW w:w="0" w:type="auto"/>
          </w:tcPr>
          <w:p w14:paraId="7AC4551E" w14:textId="77777777" w:rsidR="000B3230" w:rsidRPr="000B3230" w:rsidRDefault="000B3230" w:rsidP="007965CB">
            <w:pPr>
              <w:rPr>
                <w:sz w:val="24"/>
                <w:szCs w:val="24"/>
              </w:rPr>
            </w:pPr>
            <w:r w:rsidRPr="000B3230">
              <w:rPr>
                <w:sz w:val="24"/>
                <w:szCs w:val="24"/>
              </w:rPr>
              <w:t>TBD</w:t>
            </w:r>
          </w:p>
        </w:tc>
        <w:tc>
          <w:tcPr>
            <w:tcW w:w="0" w:type="auto"/>
          </w:tcPr>
          <w:p w14:paraId="59026A71" w14:textId="77777777" w:rsidR="000B3230" w:rsidRPr="000B3230" w:rsidRDefault="000B3230" w:rsidP="007965CB">
            <w:pPr>
              <w:rPr>
                <w:sz w:val="24"/>
                <w:szCs w:val="24"/>
                <w:highlight w:val="yellow"/>
              </w:rPr>
            </w:pPr>
            <w:r w:rsidRPr="000B3230">
              <w:rPr>
                <w:sz w:val="24"/>
                <w:szCs w:val="24"/>
                <w:highlight w:val="yellow"/>
              </w:rPr>
              <w:t>No meeting.</w:t>
            </w:r>
          </w:p>
          <w:p w14:paraId="4CBA4558" w14:textId="77777777" w:rsidR="000B3230" w:rsidRPr="00B63493" w:rsidRDefault="00B63493" w:rsidP="007965CB">
            <w:pPr>
              <w:rPr>
                <w:sz w:val="24"/>
                <w:szCs w:val="24"/>
                <w:highlight w:val="yellow"/>
              </w:rPr>
            </w:pPr>
            <w:r w:rsidRPr="00B63493">
              <w:rPr>
                <w:sz w:val="24"/>
                <w:szCs w:val="24"/>
              </w:rPr>
              <w:t xml:space="preserve">2/10/2009 call from </w:t>
            </w:r>
            <w:r w:rsidRPr="00B63493">
              <w:rPr>
                <w:color w:val="000000"/>
                <w:sz w:val="24"/>
                <w:szCs w:val="24"/>
              </w:rPr>
              <w:t>1pm to 4pm Eastern time, dial-in bridge number is 888-412-7808, pin 23272#</w:t>
            </w:r>
          </w:p>
        </w:tc>
        <w:tc>
          <w:tcPr>
            <w:tcW w:w="0" w:type="auto"/>
          </w:tcPr>
          <w:p w14:paraId="21032813" w14:textId="77777777" w:rsidR="000B3230" w:rsidRPr="000B3230" w:rsidRDefault="000B3230" w:rsidP="007965CB">
            <w:pPr>
              <w:rPr>
                <w:sz w:val="24"/>
                <w:szCs w:val="24"/>
              </w:rPr>
            </w:pPr>
          </w:p>
        </w:tc>
        <w:tc>
          <w:tcPr>
            <w:tcW w:w="0" w:type="auto"/>
          </w:tcPr>
          <w:p w14:paraId="112511FC" w14:textId="77777777" w:rsidR="000B3230" w:rsidRPr="000B3230" w:rsidRDefault="000B3230" w:rsidP="007965CB">
            <w:pPr>
              <w:rPr>
                <w:sz w:val="24"/>
                <w:szCs w:val="24"/>
              </w:rPr>
            </w:pPr>
          </w:p>
        </w:tc>
      </w:tr>
      <w:tr w:rsidR="000B3230" w:rsidRPr="000B3230" w14:paraId="0ACF2AD4" w14:textId="77777777" w:rsidTr="007965CB">
        <w:tblPrEx>
          <w:tblCellMar>
            <w:top w:w="0" w:type="dxa"/>
            <w:bottom w:w="0" w:type="dxa"/>
          </w:tblCellMar>
        </w:tblPrEx>
        <w:tc>
          <w:tcPr>
            <w:tcW w:w="0" w:type="auto"/>
          </w:tcPr>
          <w:p w14:paraId="7C8EED88" w14:textId="77777777" w:rsidR="000B3230" w:rsidRPr="000B3230" w:rsidRDefault="000B3230" w:rsidP="007965CB">
            <w:pPr>
              <w:rPr>
                <w:sz w:val="24"/>
                <w:szCs w:val="24"/>
              </w:rPr>
            </w:pPr>
            <w:r w:rsidRPr="000B3230">
              <w:rPr>
                <w:sz w:val="24"/>
                <w:szCs w:val="24"/>
              </w:rPr>
              <w:t>March</w:t>
            </w:r>
          </w:p>
        </w:tc>
        <w:tc>
          <w:tcPr>
            <w:tcW w:w="0" w:type="auto"/>
          </w:tcPr>
          <w:p w14:paraId="123B6302" w14:textId="77777777" w:rsidR="000B3230" w:rsidRPr="000B3230" w:rsidRDefault="000B3230" w:rsidP="007965CB">
            <w:pPr>
              <w:rPr>
                <w:sz w:val="24"/>
                <w:szCs w:val="24"/>
              </w:rPr>
            </w:pPr>
            <w:r w:rsidRPr="000B3230">
              <w:rPr>
                <w:sz w:val="24"/>
                <w:szCs w:val="24"/>
              </w:rPr>
              <w:t>TBD</w:t>
            </w:r>
          </w:p>
        </w:tc>
        <w:tc>
          <w:tcPr>
            <w:tcW w:w="0" w:type="auto"/>
          </w:tcPr>
          <w:p w14:paraId="0B520D16" w14:textId="77777777" w:rsidR="000B3230" w:rsidRPr="000B3230" w:rsidRDefault="000B3230" w:rsidP="007965CB">
            <w:pPr>
              <w:rPr>
                <w:sz w:val="24"/>
                <w:szCs w:val="24"/>
                <w:highlight w:val="yellow"/>
                <w:vertAlign w:val="superscript"/>
              </w:rPr>
            </w:pPr>
            <w:r w:rsidRPr="000B3230">
              <w:rPr>
                <w:sz w:val="24"/>
                <w:szCs w:val="24"/>
                <w:highlight w:val="yellow"/>
              </w:rPr>
              <w:t>10</w:t>
            </w:r>
            <w:r w:rsidRPr="000B3230">
              <w:rPr>
                <w:sz w:val="24"/>
                <w:szCs w:val="24"/>
                <w:highlight w:val="yellow"/>
                <w:vertAlign w:val="superscript"/>
              </w:rPr>
              <w:t>th</w:t>
            </w:r>
            <w:r w:rsidRPr="000B3230">
              <w:rPr>
                <w:sz w:val="24"/>
                <w:szCs w:val="24"/>
                <w:highlight w:val="yellow"/>
              </w:rPr>
              <w:t>-11</w:t>
            </w:r>
            <w:r w:rsidRPr="000B3230">
              <w:rPr>
                <w:sz w:val="24"/>
                <w:szCs w:val="24"/>
                <w:highlight w:val="yellow"/>
                <w:vertAlign w:val="superscript"/>
              </w:rPr>
              <w:t>th</w:t>
            </w:r>
          </w:p>
        </w:tc>
        <w:tc>
          <w:tcPr>
            <w:tcW w:w="0" w:type="auto"/>
          </w:tcPr>
          <w:p w14:paraId="65CCB1CC" w14:textId="77777777" w:rsidR="000B3230" w:rsidRPr="000B3230" w:rsidRDefault="000B3230" w:rsidP="007965CB">
            <w:pPr>
              <w:rPr>
                <w:sz w:val="24"/>
                <w:szCs w:val="24"/>
              </w:rPr>
            </w:pPr>
            <w:r w:rsidRPr="000B3230">
              <w:rPr>
                <w:sz w:val="24"/>
                <w:szCs w:val="24"/>
              </w:rPr>
              <w:t>Comcast</w:t>
            </w:r>
          </w:p>
        </w:tc>
        <w:tc>
          <w:tcPr>
            <w:tcW w:w="0" w:type="auto"/>
          </w:tcPr>
          <w:p w14:paraId="78CDD0C6" w14:textId="77777777" w:rsidR="000B3230" w:rsidRPr="000B3230" w:rsidRDefault="000B3230" w:rsidP="007965CB">
            <w:pPr>
              <w:rPr>
                <w:sz w:val="24"/>
                <w:szCs w:val="24"/>
              </w:rPr>
            </w:pPr>
            <w:smartTag w:uri="urn:schemas-microsoft-com:office:smarttags" w:element="place">
              <w:smartTag w:uri="urn:schemas-microsoft-com:office:smarttags" w:element="City">
                <w:r w:rsidRPr="000B3230">
                  <w:rPr>
                    <w:sz w:val="24"/>
                    <w:szCs w:val="24"/>
                  </w:rPr>
                  <w:t>Denver</w:t>
                </w:r>
              </w:smartTag>
              <w:r w:rsidRPr="000B3230">
                <w:rPr>
                  <w:sz w:val="24"/>
                  <w:szCs w:val="24"/>
                </w:rPr>
                <w:t xml:space="preserve">, </w:t>
              </w:r>
              <w:smartTag w:uri="urn:schemas-microsoft-com:office:smarttags" w:element="State">
                <w:r w:rsidRPr="000B3230">
                  <w:rPr>
                    <w:sz w:val="24"/>
                    <w:szCs w:val="24"/>
                  </w:rPr>
                  <w:t>Colorado</w:t>
                </w:r>
              </w:smartTag>
            </w:smartTag>
          </w:p>
        </w:tc>
      </w:tr>
      <w:tr w:rsidR="000B3230" w:rsidRPr="000B3230" w14:paraId="785990F4" w14:textId="77777777" w:rsidTr="007965CB">
        <w:tblPrEx>
          <w:tblCellMar>
            <w:top w:w="0" w:type="dxa"/>
            <w:bottom w:w="0" w:type="dxa"/>
          </w:tblCellMar>
        </w:tblPrEx>
        <w:tc>
          <w:tcPr>
            <w:tcW w:w="0" w:type="auto"/>
          </w:tcPr>
          <w:p w14:paraId="48AAB3E6" w14:textId="77777777" w:rsidR="000B3230" w:rsidRPr="000B3230" w:rsidRDefault="000B3230" w:rsidP="007965CB">
            <w:pPr>
              <w:rPr>
                <w:sz w:val="24"/>
                <w:szCs w:val="24"/>
              </w:rPr>
            </w:pPr>
            <w:r w:rsidRPr="000B3230">
              <w:rPr>
                <w:sz w:val="24"/>
                <w:szCs w:val="24"/>
              </w:rPr>
              <w:t>April</w:t>
            </w:r>
          </w:p>
        </w:tc>
        <w:tc>
          <w:tcPr>
            <w:tcW w:w="0" w:type="auto"/>
          </w:tcPr>
          <w:p w14:paraId="57C450D3" w14:textId="77777777" w:rsidR="000B3230" w:rsidRPr="000B3230" w:rsidRDefault="000B3230" w:rsidP="007965CB">
            <w:pPr>
              <w:rPr>
                <w:sz w:val="24"/>
                <w:szCs w:val="24"/>
              </w:rPr>
            </w:pPr>
            <w:r w:rsidRPr="000B3230">
              <w:rPr>
                <w:sz w:val="24"/>
                <w:szCs w:val="24"/>
              </w:rPr>
              <w:t>TBD</w:t>
            </w:r>
          </w:p>
        </w:tc>
        <w:tc>
          <w:tcPr>
            <w:tcW w:w="0" w:type="auto"/>
          </w:tcPr>
          <w:p w14:paraId="215D996D" w14:textId="77777777" w:rsidR="000B3230" w:rsidRPr="000B3230" w:rsidRDefault="000B3230" w:rsidP="007965CB">
            <w:pPr>
              <w:rPr>
                <w:sz w:val="24"/>
                <w:szCs w:val="24"/>
                <w:highlight w:val="yellow"/>
              </w:rPr>
            </w:pPr>
            <w:r w:rsidRPr="000B3230">
              <w:rPr>
                <w:sz w:val="24"/>
                <w:szCs w:val="24"/>
                <w:highlight w:val="yellow"/>
              </w:rPr>
              <w:t>No meeting.</w:t>
            </w:r>
          </w:p>
          <w:p w14:paraId="1ED3BE38" w14:textId="77777777" w:rsidR="000B3230" w:rsidRPr="000B3230" w:rsidRDefault="000B3230" w:rsidP="007965CB">
            <w:pPr>
              <w:rPr>
                <w:sz w:val="24"/>
                <w:szCs w:val="24"/>
                <w:highlight w:val="yellow"/>
              </w:rPr>
            </w:pPr>
            <w:r w:rsidRPr="000B3230">
              <w:rPr>
                <w:sz w:val="24"/>
                <w:szCs w:val="24"/>
              </w:rPr>
              <w:t>4/14/2009 call if necessary</w:t>
            </w:r>
          </w:p>
        </w:tc>
        <w:tc>
          <w:tcPr>
            <w:tcW w:w="0" w:type="auto"/>
          </w:tcPr>
          <w:p w14:paraId="3C353918" w14:textId="77777777" w:rsidR="000B3230" w:rsidRPr="000B3230" w:rsidRDefault="000B3230" w:rsidP="007965CB">
            <w:pPr>
              <w:rPr>
                <w:sz w:val="24"/>
                <w:szCs w:val="24"/>
              </w:rPr>
            </w:pPr>
          </w:p>
        </w:tc>
        <w:tc>
          <w:tcPr>
            <w:tcW w:w="0" w:type="auto"/>
          </w:tcPr>
          <w:p w14:paraId="60DC23E2" w14:textId="77777777" w:rsidR="000B3230" w:rsidRPr="000B3230" w:rsidRDefault="000B3230" w:rsidP="007965CB">
            <w:pPr>
              <w:pStyle w:val="Heading7"/>
              <w:rPr>
                <w:b w:val="0"/>
                <w:szCs w:val="24"/>
              </w:rPr>
            </w:pPr>
          </w:p>
        </w:tc>
      </w:tr>
      <w:tr w:rsidR="000B3230" w:rsidRPr="000B3230" w14:paraId="0CB473E8" w14:textId="77777777" w:rsidTr="007965CB">
        <w:tblPrEx>
          <w:tblCellMar>
            <w:top w:w="0" w:type="dxa"/>
            <w:bottom w:w="0" w:type="dxa"/>
          </w:tblCellMar>
        </w:tblPrEx>
        <w:tc>
          <w:tcPr>
            <w:tcW w:w="0" w:type="auto"/>
          </w:tcPr>
          <w:p w14:paraId="1F1AEA83" w14:textId="77777777" w:rsidR="000B3230" w:rsidRPr="000B3230" w:rsidRDefault="000B3230" w:rsidP="007965CB">
            <w:pPr>
              <w:rPr>
                <w:sz w:val="24"/>
                <w:szCs w:val="24"/>
              </w:rPr>
            </w:pPr>
            <w:r w:rsidRPr="000B3230">
              <w:rPr>
                <w:sz w:val="24"/>
                <w:szCs w:val="24"/>
              </w:rPr>
              <w:t>May</w:t>
            </w:r>
          </w:p>
        </w:tc>
        <w:tc>
          <w:tcPr>
            <w:tcW w:w="0" w:type="auto"/>
          </w:tcPr>
          <w:p w14:paraId="66A35F75" w14:textId="77777777" w:rsidR="000B3230" w:rsidRPr="000B3230" w:rsidRDefault="000B3230" w:rsidP="007965CB">
            <w:pPr>
              <w:rPr>
                <w:sz w:val="24"/>
                <w:szCs w:val="24"/>
              </w:rPr>
            </w:pPr>
            <w:r w:rsidRPr="000B3230">
              <w:rPr>
                <w:sz w:val="24"/>
                <w:szCs w:val="24"/>
              </w:rPr>
              <w:t>TBD</w:t>
            </w:r>
          </w:p>
        </w:tc>
        <w:tc>
          <w:tcPr>
            <w:tcW w:w="0" w:type="auto"/>
          </w:tcPr>
          <w:p w14:paraId="2491EA5D" w14:textId="77777777" w:rsidR="000B3230" w:rsidRPr="000B3230" w:rsidRDefault="000B3230" w:rsidP="007965CB">
            <w:pPr>
              <w:rPr>
                <w:sz w:val="24"/>
                <w:szCs w:val="24"/>
                <w:highlight w:val="yellow"/>
              </w:rPr>
            </w:pPr>
            <w:r w:rsidRPr="000B3230">
              <w:rPr>
                <w:sz w:val="24"/>
                <w:szCs w:val="24"/>
                <w:highlight w:val="yellow"/>
              </w:rPr>
              <w:t>12</w:t>
            </w:r>
            <w:r w:rsidRPr="000B3230">
              <w:rPr>
                <w:sz w:val="24"/>
                <w:szCs w:val="24"/>
                <w:highlight w:val="yellow"/>
                <w:vertAlign w:val="superscript"/>
              </w:rPr>
              <w:t>th</w:t>
            </w:r>
            <w:r w:rsidRPr="000B3230">
              <w:rPr>
                <w:sz w:val="24"/>
                <w:szCs w:val="24"/>
                <w:highlight w:val="yellow"/>
              </w:rPr>
              <w:t>-13</w:t>
            </w:r>
            <w:r w:rsidRPr="000B3230">
              <w:rPr>
                <w:sz w:val="24"/>
                <w:szCs w:val="24"/>
                <w:highlight w:val="yellow"/>
                <w:vertAlign w:val="superscript"/>
              </w:rPr>
              <w:t>th</w:t>
            </w:r>
            <w:r w:rsidRPr="000B3230">
              <w:rPr>
                <w:sz w:val="24"/>
                <w:szCs w:val="24"/>
                <w:highlight w:val="yellow"/>
              </w:rPr>
              <w:t xml:space="preserve"> </w:t>
            </w:r>
          </w:p>
        </w:tc>
        <w:tc>
          <w:tcPr>
            <w:tcW w:w="0" w:type="auto"/>
          </w:tcPr>
          <w:p w14:paraId="0CD8C9FB" w14:textId="77777777" w:rsidR="000B3230" w:rsidRPr="000B3230" w:rsidRDefault="000B3230" w:rsidP="007965CB">
            <w:pPr>
              <w:rPr>
                <w:sz w:val="24"/>
                <w:szCs w:val="24"/>
              </w:rPr>
            </w:pPr>
            <w:r w:rsidRPr="000B3230">
              <w:rPr>
                <w:sz w:val="24"/>
                <w:szCs w:val="24"/>
              </w:rPr>
              <w:t>Sprint Nextel</w:t>
            </w:r>
          </w:p>
        </w:tc>
        <w:tc>
          <w:tcPr>
            <w:tcW w:w="0" w:type="auto"/>
          </w:tcPr>
          <w:p w14:paraId="73C94DA4" w14:textId="77777777" w:rsidR="000B3230" w:rsidRPr="000B3230" w:rsidRDefault="000B3230" w:rsidP="007965CB">
            <w:pPr>
              <w:rPr>
                <w:sz w:val="24"/>
                <w:szCs w:val="24"/>
              </w:rPr>
            </w:pPr>
            <w:smartTag w:uri="urn:schemas-microsoft-com:office:smarttags" w:element="place">
              <w:smartTag w:uri="urn:schemas-microsoft-com:office:smarttags" w:element="City">
                <w:r w:rsidRPr="000B3230">
                  <w:rPr>
                    <w:sz w:val="24"/>
                    <w:szCs w:val="24"/>
                  </w:rPr>
                  <w:t>Overland Park</w:t>
                </w:r>
              </w:smartTag>
              <w:r w:rsidRPr="000B3230">
                <w:rPr>
                  <w:sz w:val="24"/>
                  <w:szCs w:val="24"/>
                </w:rPr>
                <w:t xml:space="preserve">, </w:t>
              </w:r>
              <w:smartTag w:uri="urn:schemas-microsoft-com:office:smarttags" w:element="State">
                <w:r w:rsidRPr="000B3230">
                  <w:rPr>
                    <w:sz w:val="24"/>
                    <w:szCs w:val="24"/>
                  </w:rPr>
                  <w:t>Kansas</w:t>
                </w:r>
              </w:smartTag>
            </w:smartTag>
          </w:p>
        </w:tc>
      </w:tr>
      <w:tr w:rsidR="000B3230" w:rsidRPr="000B3230" w14:paraId="5CD6D0E4" w14:textId="77777777" w:rsidTr="007965CB">
        <w:tblPrEx>
          <w:tblCellMar>
            <w:top w:w="0" w:type="dxa"/>
            <w:bottom w:w="0" w:type="dxa"/>
          </w:tblCellMar>
        </w:tblPrEx>
        <w:tc>
          <w:tcPr>
            <w:tcW w:w="0" w:type="auto"/>
          </w:tcPr>
          <w:p w14:paraId="01CF5158" w14:textId="77777777" w:rsidR="000B3230" w:rsidRPr="000B3230" w:rsidRDefault="000B3230" w:rsidP="007965CB">
            <w:pPr>
              <w:rPr>
                <w:sz w:val="24"/>
                <w:szCs w:val="24"/>
              </w:rPr>
            </w:pPr>
            <w:r w:rsidRPr="000B3230">
              <w:rPr>
                <w:sz w:val="24"/>
                <w:szCs w:val="24"/>
              </w:rPr>
              <w:t>June</w:t>
            </w:r>
          </w:p>
        </w:tc>
        <w:tc>
          <w:tcPr>
            <w:tcW w:w="0" w:type="auto"/>
          </w:tcPr>
          <w:p w14:paraId="09704A14" w14:textId="77777777" w:rsidR="000B3230" w:rsidRPr="000B3230" w:rsidRDefault="000B3230" w:rsidP="007965CB">
            <w:pPr>
              <w:rPr>
                <w:sz w:val="24"/>
                <w:szCs w:val="24"/>
              </w:rPr>
            </w:pPr>
            <w:r w:rsidRPr="000B3230">
              <w:rPr>
                <w:sz w:val="24"/>
                <w:szCs w:val="24"/>
              </w:rPr>
              <w:t>TBD</w:t>
            </w:r>
          </w:p>
        </w:tc>
        <w:tc>
          <w:tcPr>
            <w:tcW w:w="0" w:type="auto"/>
          </w:tcPr>
          <w:p w14:paraId="33D6A215" w14:textId="77777777" w:rsidR="000B3230" w:rsidRPr="000B3230" w:rsidRDefault="000B3230" w:rsidP="007965CB">
            <w:pPr>
              <w:rPr>
                <w:sz w:val="24"/>
                <w:szCs w:val="24"/>
                <w:highlight w:val="yellow"/>
              </w:rPr>
            </w:pPr>
            <w:r w:rsidRPr="000B3230">
              <w:rPr>
                <w:sz w:val="24"/>
                <w:szCs w:val="24"/>
                <w:highlight w:val="yellow"/>
              </w:rPr>
              <w:t>No meeting.</w:t>
            </w:r>
          </w:p>
          <w:p w14:paraId="4C14CEAB" w14:textId="77777777" w:rsidR="000B3230" w:rsidRPr="000B3230" w:rsidRDefault="000B3230" w:rsidP="007965CB">
            <w:pPr>
              <w:rPr>
                <w:sz w:val="24"/>
                <w:szCs w:val="24"/>
                <w:highlight w:val="yellow"/>
              </w:rPr>
            </w:pPr>
            <w:r w:rsidRPr="000B3230">
              <w:rPr>
                <w:sz w:val="24"/>
                <w:szCs w:val="24"/>
              </w:rPr>
              <w:t>6/9/2009 call if necessary</w:t>
            </w:r>
          </w:p>
        </w:tc>
        <w:tc>
          <w:tcPr>
            <w:tcW w:w="0" w:type="auto"/>
          </w:tcPr>
          <w:p w14:paraId="554958EA" w14:textId="77777777" w:rsidR="000B3230" w:rsidRPr="000B3230" w:rsidRDefault="000B3230" w:rsidP="007965CB">
            <w:pPr>
              <w:rPr>
                <w:sz w:val="24"/>
                <w:szCs w:val="24"/>
              </w:rPr>
            </w:pPr>
          </w:p>
        </w:tc>
        <w:tc>
          <w:tcPr>
            <w:tcW w:w="0" w:type="auto"/>
          </w:tcPr>
          <w:p w14:paraId="79E4E29E" w14:textId="77777777" w:rsidR="000B3230" w:rsidRPr="000B3230" w:rsidRDefault="000B3230" w:rsidP="007965CB">
            <w:pPr>
              <w:rPr>
                <w:sz w:val="24"/>
                <w:szCs w:val="24"/>
              </w:rPr>
            </w:pPr>
          </w:p>
        </w:tc>
      </w:tr>
      <w:tr w:rsidR="000B3230" w:rsidRPr="000B3230" w14:paraId="106EFC59" w14:textId="77777777" w:rsidTr="007965CB">
        <w:tblPrEx>
          <w:tblCellMar>
            <w:top w:w="0" w:type="dxa"/>
            <w:bottom w:w="0" w:type="dxa"/>
          </w:tblCellMar>
        </w:tblPrEx>
        <w:tc>
          <w:tcPr>
            <w:tcW w:w="0" w:type="auto"/>
          </w:tcPr>
          <w:p w14:paraId="3818A0A8" w14:textId="77777777" w:rsidR="000B3230" w:rsidRPr="000B3230" w:rsidRDefault="000B3230" w:rsidP="007965CB">
            <w:pPr>
              <w:rPr>
                <w:sz w:val="24"/>
                <w:szCs w:val="24"/>
              </w:rPr>
            </w:pPr>
            <w:r w:rsidRPr="000B3230">
              <w:rPr>
                <w:sz w:val="24"/>
                <w:szCs w:val="24"/>
              </w:rPr>
              <w:t>July</w:t>
            </w:r>
          </w:p>
        </w:tc>
        <w:tc>
          <w:tcPr>
            <w:tcW w:w="0" w:type="auto"/>
          </w:tcPr>
          <w:p w14:paraId="23D8211A" w14:textId="77777777" w:rsidR="000B3230" w:rsidRPr="000B3230" w:rsidRDefault="000B3230" w:rsidP="007965CB">
            <w:pPr>
              <w:rPr>
                <w:sz w:val="24"/>
                <w:szCs w:val="24"/>
              </w:rPr>
            </w:pPr>
            <w:r w:rsidRPr="000B3230">
              <w:rPr>
                <w:sz w:val="24"/>
                <w:szCs w:val="24"/>
              </w:rPr>
              <w:t>TBD</w:t>
            </w:r>
          </w:p>
        </w:tc>
        <w:tc>
          <w:tcPr>
            <w:tcW w:w="0" w:type="auto"/>
          </w:tcPr>
          <w:p w14:paraId="357AB4A5" w14:textId="77777777" w:rsidR="000B3230" w:rsidRPr="000B3230" w:rsidRDefault="000B3230" w:rsidP="007965CB">
            <w:pPr>
              <w:rPr>
                <w:sz w:val="24"/>
                <w:szCs w:val="24"/>
                <w:highlight w:val="yellow"/>
              </w:rPr>
            </w:pPr>
            <w:r w:rsidRPr="000B3230">
              <w:rPr>
                <w:sz w:val="24"/>
                <w:szCs w:val="24"/>
                <w:highlight w:val="yellow"/>
              </w:rPr>
              <w:t>14</w:t>
            </w:r>
            <w:r w:rsidRPr="000B3230">
              <w:rPr>
                <w:sz w:val="24"/>
                <w:szCs w:val="24"/>
                <w:highlight w:val="yellow"/>
                <w:vertAlign w:val="superscript"/>
              </w:rPr>
              <w:t>th</w:t>
            </w:r>
            <w:r w:rsidRPr="000B3230">
              <w:rPr>
                <w:sz w:val="24"/>
                <w:szCs w:val="24"/>
                <w:highlight w:val="yellow"/>
              </w:rPr>
              <w:t>-15</w:t>
            </w:r>
            <w:r w:rsidRPr="000B3230">
              <w:rPr>
                <w:sz w:val="24"/>
                <w:szCs w:val="24"/>
                <w:highlight w:val="yellow"/>
                <w:vertAlign w:val="superscript"/>
              </w:rPr>
              <w:t>th</w:t>
            </w:r>
            <w:r w:rsidRPr="000B3230">
              <w:rPr>
                <w:sz w:val="24"/>
                <w:szCs w:val="24"/>
                <w:highlight w:val="yellow"/>
              </w:rPr>
              <w:t xml:space="preserve"> </w:t>
            </w:r>
          </w:p>
        </w:tc>
        <w:tc>
          <w:tcPr>
            <w:tcW w:w="0" w:type="auto"/>
          </w:tcPr>
          <w:p w14:paraId="3F70DB62" w14:textId="77777777" w:rsidR="000B3230" w:rsidRPr="000B3230" w:rsidRDefault="000B3230" w:rsidP="007965CB">
            <w:pPr>
              <w:rPr>
                <w:sz w:val="24"/>
                <w:szCs w:val="24"/>
              </w:rPr>
            </w:pPr>
            <w:r w:rsidRPr="000B3230">
              <w:rPr>
                <w:sz w:val="24"/>
                <w:szCs w:val="24"/>
              </w:rPr>
              <w:t>Canadian Consortium</w:t>
            </w:r>
          </w:p>
        </w:tc>
        <w:tc>
          <w:tcPr>
            <w:tcW w:w="0" w:type="auto"/>
          </w:tcPr>
          <w:p w14:paraId="679D1657" w14:textId="77777777" w:rsidR="000B3230" w:rsidRPr="000B3230" w:rsidRDefault="000B3230" w:rsidP="007965CB">
            <w:pPr>
              <w:rPr>
                <w:sz w:val="24"/>
                <w:szCs w:val="24"/>
              </w:rPr>
            </w:pPr>
            <w:smartTag w:uri="urn:schemas-microsoft-com:office:smarttags" w:element="place">
              <w:smartTag w:uri="urn:schemas-microsoft-com:office:smarttags" w:element="City">
                <w:r w:rsidRPr="000B3230">
                  <w:rPr>
                    <w:sz w:val="24"/>
                    <w:szCs w:val="24"/>
                  </w:rPr>
                  <w:t>Ottawa</w:t>
                </w:r>
              </w:smartTag>
              <w:r w:rsidRPr="000B3230">
                <w:rPr>
                  <w:sz w:val="24"/>
                  <w:szCs w:val="24"/>
                </w:rPr>
                <w:t xml:space="preserve">, </w:t>
              </w:r>
              <w:smartTag w:uri="urn:schemas-microsoft-com:office:smarttags" w:element="State">
                <w:r w:rsidRPr="000B3230">
                  <w:rPr>
                    <w:sz w:val="24"/>
                    <w:szCs w:val="24"/>
                  </w:rPr>
                  <w:t>Ontario</w:t>
                </w:r>
              </w:smartTag>
              <w:r w:rsidRPr="000B3230">
                <w:rPr>
                  <w:sz w:val="24"/>
                  <w:szCs w:val="24"/>
                </w:rPr>
                <w:t xml:space="preserve"> </w:t>
              </w:r>
              <w:smartTag w:uri="urn:schemas-microsoft-com:office:smarttags" w:element="country-region">
                <w:r w:rsidRPr="000B3230">
                  <w:rPr>
                    <w:sz w:val="24"/>
                    <w:szCs w:val="24"/>
                  </w:rPr>
                  <w:t>Canada</w:t>
                </w:r>
              </w:smartTag>
            </w:smartTag>
          </w:p>
        </w:tc>
      </w:tr>
      <w:tr w:rsidR="000B3230" w:rsidRPr="000B3230" w14:paraId="28965927" w14:textId="77777777" w:rsidTr="007965CB">
        <w:tblPrEx>
          <w:tblCellMar>
            <w:top w:w="0" w:type="dxa"/>
            <w:bottom w:w="0" w:type="dxa"/>
          </w:tblCellMar>
        </w:tblPrEx>
        <w:tc>
          <w:tcPr>
            <w:tcW w:w="0" w:type="auto"/>
          </w:tcPr>
          <w:p w14:paraId="0CD395A9" w14:textId="77777777" w:rsidR="000B3230" w:rsidRPr="000B3230" w:rsidRDefault="000B3230" w:rsidP="007965CB">
            <w:pPr>
              <w:rPr>
                <w:sz w:val="24"/>
                <w:szCs w:val="24"/>
              </w:rPr>
            </w:pPr>
            <w:r w:rsidRPr="000B3230">
              <w:rPr>
                <w:sz w:val="24"/>
                <w:szCs w:val="24"/>
              </w:rPr>
              <w:t>August</w:t>
            </w:r>
          </w:p>
        </w:tc>
        <w:tc>
          <w:tcPr>
            <w:tcW w:w="0" w:type="auto"/>
          </w:tcPr>
          <w:p w14:paraId="2C213822" w14:textId="77777777" w:rsidR="000B3230" w:rsidRPr="000B3230" w:rsidRDefault="000B3230" w:rsidP="007965CB">
            <w:pPr>
              <w:rPr>
                <w:sz w:val="24"/>
                <w:szCs w:val="24"/>
              </w:rPr>
            </w:pPr>
            <w:r w:rsidRPr="000B3230">
              <w:rPr>
                <w:sz w:val="24"/>
                <w:szCs w:val="24"/>
              </w:rPr>
              <w:t>TBD</w:t>
            </w:r>
          </w:p>
        </w:tc>
        <w:tc>
          <w:tcPr>
            <w:tcW w:w="0" w:type="auto"/>
          </w:tcPr>
          <w:p w14:paraId="11732B9F" w14:textId="77777777" w:rsidR="000B3230" w:rsidRPr="000B3230" w:rsidRDefault="000B3230" w:rsidP="007965CB">
            <w:pPr>
              <w:rPr>
                <w:sz w:val="24"/>
                <w:szCs w:val="24"/>
                <w:highlight w:val="yellow"/>
              </w:rPr>
            </w:pPr>
            <w:r w:rsidRPr="000B3230">
              <w:rPr>
                <w:sz w:val="24"/>
                <w:szCs w:val="24"/>
                <w:highlight w:val="yellow"/>
              </w:rPr>
              <w:t>No meeting.</w:t>
            </w:r>
          </w:p>
          <w:p w14:paraId="0A5D403E" w14:textId="77777777" w:rsidR="000B3230" w:rsidRPr="000B3230" w:rsidRDefault="000B3230" w:rsidP="007965CB">
            <w:pPr>
              <w:rPr>
                <w:sz w:val="24"/>
                <w:szCs w:val="24"/>
                <w:highlight w:val="yellow"/>
              </w:rPr>
            </w:pPr>
            <w:r w:rsidRPr="000B3230">
              <w:rPr>
                <w:sz w:val="24"/>
                <w:szCs w:val="24"/>
              </w:rPr>
              <w:t>8/11/2009 call if necessary</w:t>
            </w:r>
          </w:p>
        </w:tc>
        <w:tc>
          <w:tcPr>
            <w:tcW w:w="0" w:type="auto"/>
          </w:tcPr>
          <w:p w14:paraId="367636F5" w14:textId="77777777" w:rsidR="000B3230" w:rsidRPr="000B3230" w:rsidRDefault="000B3230" w:rsidP="007965CB">
            <w:pPr>
              <w:rPr>
                <w:sz w:val="24"/>
                <w:szCs w:val="24"/>
              </w:rPr>
            </w:pPr>
          </w:p>
        </w:tc>
        <w:tc>
          <w:tcPr>
            <w:tcW w:w="0" w:type="auto"/>
          </w:tcPr>
          <w:p w14:paraId="702723D3" w14:textId="77777777" w:rsidR="000B3230" w:rsidRPr="000B3230" w:rsidRDefault="000B3230" w:rsidP="007965CB">
            <w:pPr>
              <w:rPr>
                <w:sz w:val="24"/>
                <w:szCs w:val="24"/>
              </w:rPr>
            </w:pPr>
          </w:p>
        </w:tc>
      </w:tr>
      <w:tr w:rsidR="000B3230" w:rsidRPr="000B3230" w14:paraId="45480E3A" w14:textId="77777777" w:rsidTr="007965CB">
        <w:tblPrEx>
          <w:tblCellMar>
            <w:top w:w="0" w:type="dxa"/>
            <w:bottom w:w="0" w:type="dxa"/>
          </w:tblCellMar>
        </w:tblPrEx>
        <w:tc>
          <w:tcPr>
            <w:tcW w:w="0" w:type="auto"/>
          </w:tcPr>
          <w:p w14:paraId="2AE6FE9E" w14:textId="77777777" w:rsidR="000B3230" w:rsidRPr="000B3230" w:rsidRDefault="000B3230" w:rsidP="007965CB">
            <w:pPr>
              <w:rPr>
                <w:sz w:val="24"/>
                <w:szCs w:val="24"/>
              </w:rPr>
            </w:pPr>
            <w:r w:rsidRPr="000B3230">
              <w:rPr>
                <w:sz w:val="24"/>
                <w:szCs w:val="24"/>
              </w:rPr>
              <w:t>September</w:t>
            </w:r>
          </w:p>
        </w:tc>
        <w:tc>
          <w:tcPr>
            <w:tcW w:w="0" w:type="auto"/>
          </w:tcPr>
          <w:p w14:paraId="7AC2B7E1" w14:textId="77777777" w:rsidR="000B3230" w:rsidRPr="000B3230" w:rsidRDefault="000B3230" w:rsidP="007965CB">
            <w:pPr>
              <w:rPr>
                <w:sz w:val="24"/>
                <w:szCs w:val="24"/>
              </w:rPr>
            </w:pPr>
            <w:r w:rsidRPr="000B3230">
              <w:rPr>
                <w:sz w:val="24"/>
                <w:szCs w:val="24"/>
              </w:rPr>
              <w:t>TBD</w:t>
            </w:r>
          </w:p>
        </w:tc>
        <w:tc>
          <w:tcPr>
            <w:tcW w:w="0" w:type="auto"/>
          </w:tcPr>
          <w:p w14:paraId="1B1533B1" w14:textId="77777777" w:rsidR="000B3230" w:rsidRPr="000B3230" w:rsidRDefault="000B3230" w:rsidP="007965CB">
            <w:pPr>
              <w:rPr>
                <w:sz w:val="24"/>
                <w:szCs w:val="24"/>
                <w:highlight w:val="yellow"/>
              </w:rPr>
            </w:pPr>
            <w:r w:rsidRPr="000B3230">
              <w:rPr>
                <w:sz w:val="24"/>
                <w:szCs w:val="24"/>
                <w:highlight w:val="yellow"/>
              </w:rPr>
              <w:t>15</w:t>
            </w:r>
            <w:r w:rsidRPr="000B3230">
              <w:rPr>
                <w:sz w:val="24"/>
                <w:szCs w:val="24"/>
                <w:highlight w:val="yellow"/>
                <w:vertAlign w:val="superscript"/>
              </w:rPr>
              <w:t>th</w:t>
            </w:r>
            <w:r w:rsidRPr="000B3230">
              <w:rPr>
                <w:sz w:val="24"/>
                <w:szCs w:val="24"/>
                <w:highlight w:val="yellow"/>
              </w:rPr>
              <w:t>-16</w:t>
            </w:r>
            <w:r w:rsidRPr="000B3230">
              <w:rPr>
                <w:sz w:val="24"/>
                <w:szCs w:val="24"/>
                <w:highlight w:val="yellow"/>
                <w:vertAlign w:val="superscript"/>
              </w:rPr>
              <w:t>th</w:t>
            </w:r>
            <w:r w:rsidRPr="000B3230">
              <w:rPr>
                <w:sz w:val="24"/>
                <w:szCs w:val="24"/>
                <w:highlight w:val="yellow"/>
              </w:rPr>
              <w:t xml:space="preserve"> </w:t>
            </w:r>
          </w:p>
        </w:tc>
        <w:tc>
          <w:tcPr>
            <w:tcW w:w="0" w:type="auto"/>
          </w:tcPr>
          <w:p w14:paraId="176CD802" w14:textId="77777777" w:rsidR="000B3230" w:rsidRPr="000B3230" w:rsidRDefault="000B3230" w:rsidP="007965CB">
            <w:pPr>
              <w:rPr>
                <w:sz w:val="24"/>
                <w:szCs w:val="24"/>
              </w:rPr>
            </w:pPr>
            <w:r w:rsidRPr="000B3230">
              <w:rPr>
                <w:sz w:val="24"/>
                <w:szCs w:val="24"/>
              </w:rPr>
              <w:t>Verizon</w:t>
            </w:r>
          </w:p>
        </w:tc>
        <w:tc>
          <w:tcPr>
            <w:tcW w:w="0" w:type="auto"/>
          </w:tcPr>
          <w:p w14:paraId="45A77BE0" w14:textId="77777777" w:rsidR="000B3230" w:rsidRPr="000B3230" w:rsidRDefault="000B3230" w:rsidP="007965CB">
            <w:pPr>
              <w:rPr>
                <w:sz w:val="24"/>
                <w:szCs w:val="24"/>
              </w:rPr>
            </w:pPr>
            <w:smartTag w:uri="urn:schemas-microsoft-com:office:smarttags" w:element="place">
              <w:smartTag w:uri="urn:schemas-microsoft-com:office:smarttags" w:element="City">
                <w:r w:rsidRPr="000B3230">
                  <w:rPr>
                    <w:sz w:val="24"/>
                    <w:szCs w:val="24"/>
                  </w:rPr>
                  <w:t>Baltimore</w:t>
                </w:r>
              </w:smartTag>
              <w:r w:rsidRPr="000B3230">
                <w:rPr>
                  <w:sz w:val="24"/>
                  <w:szCs w:val="24"/>
                </w:rPr>
                <w:t xml:space="preserve">, </w:t>
              </w:r>
              <w:smartTag w:uri="urn:schemas-microsoft-com:office:smarttags" w:element="State">
                <w:r w:rsidRPr="000B3230">
                  <w:rPr>
                    <w:sz w:val="24"/>
                    <w:szCs w:val="24"/>
                  </w:rPr>
                  <w:t>Maryland</w:t>
                </w:r>
              </w:smartTag>
            </w:smartTag>
          </w:p>
        </w:tc>
      </w:tr>
      <w:tr w:rsidR="000B3230" w:rsidRPr="000B3230" w14:paraId="504610BD" w14:textId="77777777" w:rsidTr="007965CB">
        <w:tblPrEx>
          <w:tblCellMar>
            <w:top w:w="0" w:type="dxa"/>
            <w:bottom w:w="0" w:type="dxa"/>
          </w:tblCellMar>
        </w:tblPrEx>
        <w:tc>
          <w:tcPr>
            <w:tcW w:w="0" w:type="auto"/>
          </w:tcPr>
          <w:p w14:paraId="78569657" w14:textId="77777777" w:rsidR="000B3230" w:rsidRPr="000B3230" w:rsidRDefault="000B3230" w:rsidP="007965CB">
            <w:pPr>
              <w:rPr>
                <w:sz w:val="24"/>
                <w:szCs w:val="24"/>
              </w:rPr>
            </w:pPr>
            <w:r w:rsidRPr="000B3230">
              <w:rPr>
                <w:sz w:val="24"/>
                <w:szCs w:val="24"/>
              </w:rPr>
              <w:t>October</w:t>
            </w:r>
          </w:p>
        </w:tc>
        <w:tc>
          <w:tcPr>
            <w:tcW w:w="0" w:type="auto"/>
          </w:tcPr>
          <w:p w14:paraId="2CD28E8E" w14:textId="77777777" w:rsidR="000B3230" w:rsidRPr="000B3230" w:rsidRDefault="000B3230" w:rsidP="007965CB">
            <w:pPr>
              <w:rPr>
                <w:sz w:val="24"/>
                <w:szCs w:val="24"/>
              </w:rPr>
            </w:pPr>
            <w:r w:rsidRPr="000B3230">
              <w:rPr>
                <w:sz w:val="24"/>
                <w:szCs w:val="24"/>
              </w:rPr>
              <w:t>TBD</w:t>
            </w:r>
          </w:p>
        </w:tc>
        <w:tc>
          <w:tcPr>
            <w:tcW w:w="0" w:type="auto"/>
          </w:tcPr>
          <w:p w14:paraId="24B3964F" w14:textId="77777777" w:rsidR="000B3230" w:rsidRPr="000B3230" w:rsidRDefault="000B3230" w:rsidP="007965CB">
            <w:pPr>
              <w:rPr>
                <w:sz w:val="24"/>
                <w:szCs w:val="24"/>
                <w:highlight w:val="yellow"/>
              </w:rPr>
            </w:pPr>
            <w:r w:rsidRPr="000B3230">
              <w:rPr>
                <w:sz w:val="24"/>
                <w:szCs w:val="24"/>
                <w:highlight w:val="yellow"/>
              </w:rPr>
              <w:t>No meeting.</w:t>
            </w:r>
          </w:p>
          <w:p w14:paraId="189A1B6F" w14:textId="77777777" w:rsidR="000B3230" w:rsidRPr="000B3230" w:rsidRDefault="000B3230" w:rsidP="007965CB">
            <w:pPr>
              <w:rPr>
                <w:sz w:val="24"/>
                <w:szCs w:val="24"/>
                <w:highlight w:val="yellow"/>
              </w:rPr>
            </w:pPr>
            <w:r w:rsidRPr="000B3230">
              <w:rPr>
                <w:sz w:val="24"/>
                <w:szCs w:val="24"/>
              </w:rPr>
              <w:t>10/6/2009 call if necessary</w:t>
            </w:r>
          </w:p>
        </w:tc>
        <w:tc>
          <w:tcPr>
            <w:tcW w:w="0" w:type="auto"/>
          </w:tcPr>
          <w:p w14:paraId="6B1B36C8" w14:textId="77777777" w:rsidR="000B3230" w:rsidRPr="000B3230" w:rsidRDefault="000B3230" w:rsidP="007965CB">
            <w:pPr>
              <w:rPr>
                <w:sz w:val="24"/>
                <w:szCs w:val="24"/>
              </w:rPr>
            </w:pPr>
          </w:p>
        </w:tc>
        <w:tc>
          <w:tcPr>
            <w:tcW w:w="0" w:type="auto"/>
          </w:tcPr>
          <w:p w14:paraId="0E117F1C" w14:textId="77777777" w:rsidR="000B3230" w:rsidRPr="000B3230" w:rsidRDefault="000B3230" w:rsidP="007965CB">
            <w:pPr>
              <w:rPr>
                <w:sz w:val="24"/>
                <w:szCs w:val="24"/>
              </w:rPr>
            </w:pPr>
          </w:p>
        </w:tc>
      </w:tr>
      <w:tr w:rsidR="000B3230" w:rsidRPr="000B3230" w14:paraId="1CB2B103" w14:textId="77777777" w:rsidTr="007965CB">
        <w:tblPrEx>
          <w:tblCellMar>
            <w:top w:w="0" w:type="dxa"/>
            <w:bottom w:w="0" w:type="dxa"/>
          </w:tblCellMar>
        </w:tblPrEx>
        <w:tc>
          <w:tcPr>
            <w:tcW w:w="0" w:type="auto"/>
          </w:tcPr>
          <w:p w14:paraId="2AFD0C03" w14:textId="77777777" w:rsidR="000B3230" w:rsidRPr="000B3230" w:rsidRDefault="000B3230" w:rsidP="007965CB">
            <w:pPr>
              <w:rPr>
                <w:sz w:val="24"/>
                <w:szCs w:val="24"/>
              </w:rPr>
            </w:pPr>
            <w:r w:rsidRPr="000B3230">
              <w:rPr>
                <w:sz w:val="24"/>
                <w:szCs w:val="24"/>
              </w:rPr>
              <w:t>November</w:t>
            </w:r>
          </w:p>
        </w:tc>
        <w:tc>
          <w:tcPr>
            <w:tcW w:w="0" w:type="auto"/>
          </w:tcPr>
          <w:p w14:paraId="48C29167" w14:textId="77777777" w:rsidR="000B3230" w:rsidRPr="000B3230" w:rsidRDefault="000B3230" w:rsidP="007965CB">
            <w:pPr>
              <w:rPr>
                <w:sz w:val="24"/>
                <w:szCs w:val="24"/>
              </w:rPr>
            </w:pPr>
            <w:r w:rsidRPr="000B3230">
              <w:rPr>
                <w:sz w:val="24"/>
                <w:szCs w:val="24"/>
              </w:rPr>
              <w:t>TBD</w:t>
            </w:r>
          </w:p>
        </w:tc>
        <w:tc>
          <w:tcPr>
            <w:tcW w:w="0" w:type="auto"/>
          </w:tcPr>
          <w:p w14:paraId="6B50ECBD" w14:textId="77777777" w:rsidR="000B3230" w:rsidRPr="000B3230" w:rsidRDefault="000B3230" w:rsidP="007965CB">
            <w:pPr>
              <w:rPr>
                <w:sz w:val="24"/>
                <w:szCs w:val="24"/>
                <w:highlight w:val="yellow"/>
              </w:rPr>
            </w:pPr>
            <w:r w:rsidRPr="000B3230">
              <w:rPr>
                <w:sz w:val="24"/>
                <w:szCs w:val="24"/>
                <w:highlight w:val="yellow"/>
              </w:rPr>
              <w:t>10</w:t>
            </w:r>
            <w:r w:rsidRPr="000B3230">
              <w:rPr>
                <w:sz w:val="24"/>
                <w:szCs w:val="24"/>
                <w:highlight w:val="yellow"/>
                <w:vertAlign w:val="superscript"/>
              </w:rPr>
              <w:t>th</w:t>
            </w:r>
            <w:r w:rsidRPr="000B3230">
              <w:rPr>
                <w:sz w:val="24"/>
                <w:szCs w:val="24"/>
                <w:highlight w:val="yellow"/>
              </w:rPr>
              <w:t>-11</w:t>
            </w:r>
            <w:r w:rsidRPr="000B3230">
              <w:rPr>
                <w:sz w:val="24"/>
                <w:szCs w:val="24"/>
                <w:highlight w:val="yellow"/>
                <w:vertAlign w:val="superscript"/>
              </w:rPr>
              <w:t>th</w:t>
            </w:r>
            <w:r w:rsidRPr="000B3230">
              <w:rPr>
                <w:sz w:val="24"/>
                <w:szCs w:val="24"/>
                <w:highlight w:val="yellow"/>
              </w:rPr>
              <w:t xml:space="preserve"> </w:t>
            </w:r>
          </w:p>
        </w:tc>
        <w:tc>
          <w:tcPr>
            <w:tcW w:w="0" w:type="auto"/>
          </w:tcPr>
          <w:p w14:paraId="1A970413" w14:textId="77777777" w:rsidR="000B3230" w:rsidRPr="000B3230" w:rsidRDefault="000B3230" w:rsidP="007965CB">
            <w:pPr>
              <w:rPr>
                <w:sz w:val="24"/>
                <w:szCs w:val="24"/>
              </w:rPr>
            </w:pPr>
            <w:proofErr w:type="spellStart"/>
            <w:r w:rsidRPr="000B3230">
              <w:rPr>
                <w:sz w:val="24"/>
                <w:szCs w:val="24"/>
              </w:rPr>
              <w:t>NeuStar</w:t>
            </w:r>
            <w:proofErr w:type="spellEnd"/>
          </w:p>
        </w:tc>
        <w:tc>
          <w:tcPr>
            <w:tcW w:w="0" w:type="auto"/>
          </w:tcPr>
          <w:p w14:paraId="2E8418A8" w14:textId="77777777" w:rsidR="000B3230" w:rsidRPr="000B3230" w:rsidRDefault="000B3230" w:rsidP="007965CB">
            <w:pPr>
              <w:rPr>
                <w:sz w:val="24"/>
                <w:szCs w:val="24"/>
              </w:rPr>
            </w:pPr>
            <w:r w:rsidRPr="000B3230">
              <w:rPr>
                <w:sz w:val="24"/>
                <w:szCs w:val="24"/>
                <w:highlight w:val="red"/>
              </w:rPr>
              <w:t>TBD</w:t>
            </w:r>
          </w:p>
        </w:tc>
      </w:tr>
      <w:tr w:rsidR="000B3230" w:rsidRPr="000B3230" w14:paraId="223983B5" w14:textId="77777777" w:rsidTr="007965CB">
        <w:tblPrEx>
          <w:tblCellMar>
            <w:top w:w="0" w:type="dxa"/>
            <w:bottom w:w="0" w:type="dxa"/>
          </w:tblCellMar>
        </w:tblPrEx>
        <w:tc>
          <w:tcPr>
            <w:tcW w:w="0" w:type="auto"/>
          </w:tcPr>
          <w:p w14:paraId="0E3D7A9D" w14:textId="77777777" w:rsidR="000B3230" w:rsidRPr="000B3230" w:rsidRDefault="000B3230" w:rsidP="007965CB">
            <w:pPr>
              <w:rPr>
                <w:sz w:val="24"/>
                <w:szCs w:val="24"/>
              </w:rPr>
            </w:pPr>
            <w:r w:rsidRPr="000B3230">
              <w:rPr>
                <w:sz w:val="24"/>
                <w:szCs w:val="24"/>
              </w:rPr>
              <w:t>December</w:t>
            </w:r>
          </w:p>
        </w:tc>
        <w:tc>
          <w:tcPr>
            <w:tcW w:w="0" w:type="auto"/>
          </w:tcPr>
          <w:p w14:paraId="67958730" w14:textId="77777777" w:rsidR="000B3230" w:rsidRPr="000B3230" w:rsidRDefault="000B3230" w:rsidP="007965CB">
            <w:pPr>
              <w:rPr>
                <w:sz w:val="24"/>
                <w:szCs w:val="24"/>
              </w:rPr>
            </w:pPr>
            <w:r w:rsidRPr="000B3230">
              <w:rPr>
                <w:sz w:val="24"/>
                <w:szCs w:val="24"/>
              </w:rPr>
              <w:t>TBD</w:t>
            </w:r>
          </w:p>
        </w:tc>
        <w:tc>
          <w:tcPr>
            <w:tcW w:w="0" w:type="auto"/>
          </w:tcPr>
          <w:p w14:paraId="6E703871" w14:textId="77777777" w:rsidR="000B3230" w:rsidRPr="000B3230" w:rsidRDefault="000B3230" w:rsidP="007965CB">
            <w:pPr>
              <w:rPr>
                <w:sz w:val="24"/>
                <w:szCs w:val="24"/>
                <w:highlight w:val="yellow"/>
              </w:rPr>
            </w:pPr>
            <w:r w:rsidRPr="000B3230">
              <w:rPr>
                <w:sz w:val="24"/>
                <w:szCs w:val="24"/>
                <w:highlight w:val="yellow"/>
              </w:rPr>
              <w:t>No meeting.</w:t>
            </w:r>
          </w:p>
          <w:p w14:paraId="6232387E" w14:textId="77777777" w:rsidR="000B3230" w:rsidRPr="000B3230" w:rsidRDefault="000B3230" w:rsidP="007965CB">
            <w:pPr>
              <w:rPr>
                <w:sz w:val="24"/>
                <w:szCs w:val="24"/>
                <w:highlight w:val="yellow"/>
              </w:rPr>
            </w:pPr>
            <w:r w:rsidRPr="000B3230">
              <w:rPr>
                <w:sz w:val="24"/>
                <w:szCs w:val="24"/>
              </w:rPr>
              <w:t>12/8/2009 call if necessary</w:t>
            </w:r>
          </w:p>
        </w:tc>
        <w:tc>
          <w:tcPr>
            <w:tcW w:w="0" w:type="auto"/>
          </w:tcPr>
          <w:p w14:paraId="3BAE13EA" w14:textId="77777777" w:rsidR="000B3230" w:rsidRPr="000B3230" w:rsidRDefault="000B3230" w:rsidP="007965CB">
            <w:pPr>
              <w:rPr>
                <w:sz w:val="24"/>
                <w:szCs w:val="24"/>
              </w:rPr>
            </w:pPr>
          </w:p>
        </w:tc>
        <w:tc>
          <w:tcPr>
            <w:tcW w:w="0" w:type="auto"/>
          </w:tcPr>
          <w:p w14:paraId="203EBF31" w14:textId="77777777" w:rsidR="000B3230" w:rsidRPr="000B3230" w:rsidRDefault="000B3230" w:rsidP="007965CB">
            <w:pPr>
              <w:rPr>
                <w:sz w:val="24"/>
                <w:szCs w:val="24"/>
              </w:rPr>
            </w:pPr>
          </w:p>
        </w:tc>
      </w:tr>
      <w:tr w:rsidR="000B3230" w:rsidRPr="000B3230" w14:paraId="69A6FD22" w14:textId="77777777" w:rsidTr="007965CB">
        <w:tblPrEx>
          <w:tblCellMar>
            <w:top w:w="0" w:type="dxa"/>
            <w:bottom w:w="0" w:type="dxa"/>
          </w:tblCellMar>
        </w:tblPrEx>
        <w:tc>
          <w:tcPr>
            <w:tcW w:w="0" w:type="auto"/>
          </w:tcPr>
          <w:p w14:paraId="137E867B" w14:textId="77777777" w:rsidR="000B3230" w:rsidRPr="000B3230" w:rsidRDefault="000B3230" w:rsidP="007965CB">
            <w:pPr>
              <w:rPr>
                <w:sz w:val="24"/>
                <w:szCs w:val="24"/>
              </w:rPr>
            </w:pPr>
          </w:p>
        </w:tc>
        <w:tc>
          <w:tcPr>
            <w:tcW w:w="0" w:type="auto"/>
          </w:tcPr>
          <w:p w14:paraId="77F9DA59" w14:textId="77777777" w:rsidR="000B3230" w:rsidRPr="000B3230" w:rsidRDefault="000B3230" w:rsidP="007965CB">
            <w:pPr>
              <w:rPr>
                <w:sz w:val="24"/>
                <w:szCs w:val="24"/>
              </w:rPr>
            </w:pPr>
          </w:p>
        </w:tc>
        <w:tc>
          <w:tcPr>
            <w:tcW w:w="0" w:type="auto"/>
          </w:tcPr>
          <w:p w14:paraId="473A74FA" w14:textId="77777777" w:rsidR="000B3230" w:rsidRPr="000B3230" w:rsidRDefault="000B3230" w:rsidP="007965CB">
            <w:pPr>
              <w:rPr>
                <w:sz w:val="24"/>
                <w:szCs w:val="24"/>
              </w:rPr>
            </w:pPr>
          </w:p>
        </w:tc>
        <w:tc>
          <w:tcPr>
            <w:tcW w:w="0" w:type="auto"/>
          </w:tcPr>
          <w:p w14:paraId="28A68359" w14:textId="77777777" w:rsidR="000B3230" w:rsidRPr="000B3230" w:rsidRDefault="000B3230" w:rsidP="007965CB">
            <w:pPr>
              <w:rPr>
                <w:sz w:val="24"/>
                <w:szCs w:val="24"/>
              </w:rPr>
            </w:pPr>
          </w:p>
        </w:tc>
        <w:tc>
          <w:tcPr>
            <w:tcW w:w="0" w:type="auto"/>
          </w:tcPr>
          <w:p w14:paraId="1709AFB9" w14:textId="77777777" w:rsidR="000B3230" w:rsidRPr="000B3230" w:rsidRDefault="000B3230" w:rsidP="007965CB">
            <w:pPr>
              <w:rPr>
                <w:sz w:val="24"/>
                <w:szCs w:val="24"/>
              </w:rPr>
            </w:pPr>
          </w:p>
        </w:tc>
      </w:tr>
    </w:tbl>
    <w:p w14:paraId="4649F2A5" w14:textId="77777777" w:rsidR="000B3230" w:rsidRPr="000B3230" w:rsidRDefault="000B3230" w:rsidP="000B3230">
      <w:pPr>
        <w:rPr>
          <w:sz w:val="24"/>
          <w:szCs w:val="24"/>
        </w:rPr>
      </w:pPr>
    </w:p>
    <w:p w14:paraId="1DEE6FFF" w14:textId="77777777" w:rsidR="000B3230" w:rsidRPr="000B3230" w:rsidRDefault="000B3230" w:rsidP="000B3230">
      <w:pPr>
        <w:numPr>
          <w:ilvl w:val="0"/>
          <w:numId w:val="1"/>
        </w:numPr>
        <w:rPr>
          <w:color w:val="000000"/>
          <w:sz w:val="24"/>
          <w:szCs w:val="24"/>
        </w:rPr>
      </w:pPr>
      <w:r w:rsidRPr="000B3230">
        <w:rPr>
          <w:snapToGrid w:val="0"/>
          <w:sz w:val="24"/>
          <w:szCs w:val="24"/>
        </w:rPr>
        <w:t>Continuing evaluation during 2009 will determine if interim conference calls are needed or if the decision to meet face-to-face every other month should be revisited.</w:t>
      </w:r>
    </w:p>
    <w:p w14:paraId="5F4B4B1F" w14:textId="77777777" w:rsidR="004E03C9" w:rsidRPr="004E03C9" w:rsidRDefault="004E03C9" w:rsidP="00D6058A">
      <w:pPr>
        <w:rPr>
          <w:b/>
          <w:sz w:val="24"/>
          <w:szCs w:val="24"/>
          <w:u w:val="single"/>
        </w:rPr>
      </w:pPr>
    </w:p>
    <w:p w14:paraId="668DDB05" w14:textId="77777777" w:rsidR="00D6058A" w:rsidRDefault="00D6058A" w:rsidP="00D6058A">
      <w:pPr>
        <w:rPr>
          <w:b/>
          <w:sz w:val="24"/>
        </w:rPr>
      </w:pPr>
      <w:r>
        <w:rPr>
          <w:b/>
          <w:sz w:val="24"/>
          <w:u w:val="single"/>
        </w:rPr>
        <w:t>CONFERENCE CALL MINUTES:</w:t>
      </w:r>
    </w:p>
    <w:p w14:paraId="6B184B32" w14:textId="77777777" w:rsidR="00D6058A" w:rsidRDefault="00D6058A" w:rsidP="00763F18">
      <w:pPr>
        <w:rPr>
          <w:sz w:val="24"/>
        </w:rPr>
      </w:pPr>
    </w:p>
    <w:p w14:paraId="1E09AB16" w14:textId="77777777" w:rsidR="00D10779" w:rsidRDefault="00D10779" w:rsidP="00D10779">
      <w:pPr>
        <w:rPr>
          <w:sz w:val="24"/>
        </w:rPr>
      </w:pPr>
      <w:r>
        <w:rPr>
          <w:sz w:val="24"/>
        </w:rPr>
        <w:t>Attached are the Actio</w:t>
      </w:r>
      <w:r w:rsidR="00A80B27">
        <w:rPr>
          <w:sz w:val="24"/>
        </w:rPr>
        <w:t>n Items assigned on the February 10</w:t>
      </w:r>
      <w:r w:rsidR="00887EDA">
        <w:rPr>
          <w:sz w:val="24"/>
        </w:rPr>
        <w:t>,</w:t>
      </w:r>
      <w:r w:rsidR="00A80B27">
        <w:rPr>
          <w:sz w:val="24"/>
        </w:rPr>
        <w:t xml:space="preserve"> </w:t>
      </w:r>
      <w:proofErr w:type="gramStart"/>
      <w:r w:rsidR="00A80B27">
        <w:rPr>
          <w:sz w:val="24"/>
        </w:rPr>
        <w:t>2009</w:t>
      </w:r>
      <w:proofErr w:type="gramEnd"/>
      <w:r>
        <w:rPr>
          <w:sz w:val="24"/>
        </w:rPr>
        <w:t xml:space="preserve"> LNPA WG conference call.  Please note that these Action Items are in addition to </w:t>
      </w:r>
      <w:r w:rsidR="00905CD9">
        <w:rPr>
          <w:sz w:val="24"/>
        </w:rPr>
        <w:t>th</w:t>
      </w:r>
      <w:r w:rsidR="00A80B27">
        <w:rPr>
          <w:sz w:val="24"/>
        </w:rPr>
        <w:t>e ones assigned at the January 2009</w:t>
      </w:r>
      <w:r>
        <w:rPr>
          <w:sz w:val="24"/>
        </w:rPr>
        <w:t xml:space="preserve"> LNPA WG meeting.  Both sets of Action Item</w:t>
      </w:r>
      <w:r w:rsidR="00905CD9">
        <w:rPr>
          <w:sz w:val="24"/>
        </w:rPr>
        <w:t>s w</w:t>
      </w:r>
      <w:r w:rsidR="00A80B27">
        <w:rPr>
          <w:sz w:val="24"/>
        </w:rPr>
        <w:t>ill be addressed at the March 2009</w:t>
      </w:r>
      <w:r>
        <w:rPr>
          <w:sz w:val="24"/>
        </w:rPr>
        <w:t xml:space="preserve"> meeting.</w:t>
      </w:r>
    </w:p>
    <w:p w14:paraId="73F53073" w14:textId="77777777" w:rsidR="00D10779" w:rsidRDefault="00D10779" w:rsidP="00D10779">
      <w:pPr>
        <w:rPr>
          <w:sz w:val="24"/>
        </w:rPr>
      </w:pPr>
    </w:p>
    <w:bookmarkStart w:id="0" w:name="_MON_1296398212"/>
    <w:bookmarkEnd w:id="0"/>
    <w:p w14:paraId="2050943B" w14:textId="77777777" w:rsidR="00D10779" w:rsidRDefault="00A80B27" w:rsidP="00D10779">
      <w:pPr>
        <w:rPr>
          <w:b/>
          <w:sz w:val="24"/>
        </w:rPr>
      </w:pPr>
      <w:r w:rsidRPr="00A80B27">
        <w:rPr>
          <w:b/>
          <w:sz w:val="24"/>
        </w:rPr>
        <w:object w:dxaOrig="1536" w:dyaOrig="994" w14:anchorId="2A90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751705" r:id="rId8">
            <o:FieldCodes>\s</o:FieldCodes>
          </o:OLEObject>
        </w:object>
      </w:r>
    </w:p>
    <w:p w14:paraId="4E535700" w14:textId="77777777" w:rsidR="00D10779" w:rsidRDefault="00D10779" w:rsidP="00D10779">
      <w:pPr>
        <w:rPr>
          <w:b/>
          <w:sz w:val="24"/>
          <w:u w:val="single"/>
        </w:rPr>
      </w:pPr>
    </w:p>
    <w:p w14:paraId="6E3D8459" w14:textId="77777777" w:rsidR="00D10779" w:rsidRDefault="00D10779" w:rsidP="00D10779">
      <w:pPr>
        <w:pStyle w:val="BodyText3"/>
      </w:pPr>
      <w:r>
        <w:t>NOTE:  ALL ACTION ITEMS REFERENCED IN THE MINUTES BELOW HAV</w:t>
      </w:r>
      <w:r w:rsidR="00A80B27">
        <w:t>E BEEN CAPTURED IN THE “FEBRUARY 2009</w:t>
      </w:r>
      <w:r>
        <w:t xml:space="preserve"> LNPA ACTION ITEMS” FILE ATTACHED ABOVE.</w:t>
      </w:r>
    </w:p>
    <w:p w14:paraId="490B3302" w14:textId="77777777" w:rsidR="00AE26DD" w:rsidRDefault="00AE26DD" w:rsidP="00763F18">
      <w:pPr>
        <w:rPr>
          <w:sz w:val="24"/>
        </w:rPr>
      </w:pPr>
    </w:p>
    <w:p w14:paraId="4DB0A420" w14:textId="77777777" w:rsidR="00A80B27" w:rsidRPr="00A80B27" w:rsidRDefault="00A80B27" w:rsidP="00763F18">
      <w:pPr>
        <w:rPr>
          <w:b/>
          <w:sz w:val="24"/>
          <w:u w:val="single"/>
        </w:rPr>
      </w:pPr>
      <w:r>
        <w:rPr>
          <w:b/>
          <w:sz w:val="24"/>
          <w:u w:val="single"/>
        </w:rPr>
        <w:t>Conference Call Minutes:</w:t>
      </w:r>
    </w:p>
    <w:p w14:paraId="0C9535A5" w14:textId="77777777" w:rsidR="00A80B27" w:rsidRDefault="00A80B27" w:rsidP="00763F18">
      <w:pPr>
        <w:rPr>
          <w:sz w:val="24"/>
        </w:rPr>
      </w:pPr>
    </w:p>
    <w:p w14:paraId="5337C27F" w14:textId="77777777" w:rsidR="00D454BA" w:rsidRPr="00D454BA" w:rsidRDefault="00D454BA" w:rsidP="00D454BA">
      <w:pPr>
        <w:rPr>
          <w:sz w:val="24"/>
          <w:u w:val="single"/>
        </w:rPr>
      </w:pPr>
      <w:r w:rsidRPr="00D454BA">
        <w:rPr>
          <w:sz w:val="24"/>
          <w:u w:val="single"/>
        </w:rPr>
        <w:t>Status of Action Item 0109-02 – Telcordia</w:t>
      </w:r>
      <w:r>
        <w:rPr>
          <w:sz w:val="24"/>
          <w:u w:val="single"/>
        </w:rPr>
        <w:t>:</w:t>
      </w:r>
      <w:r w:rsidRPr="00D454BA">
        <w:rPr>
          <w:sz w:val="24"/>
          <w:u w:val="single"/>
        </w:rPr>
        <w:t xml:space="preserve"> </w:t>
      </w:r>
    </w:p>
    <w:p w14:paraId="1D2D6DE3" w14:textId="77777777" w:rsidR="00D454BA" w:rsidRDefault="00D454BA" w:rsidP="00D454BA">
      <w:pPr>
        <w:rPr>
          <w:sz w:val="24"/>
        </w:rPr>
      </w:pPr>
    </w:p>
    <w:p w14:paraId="72DD5895" w14:textId="77777777" w:rsidR="00D454BA" w:rsidRDefault="00D454BA" w:rsidP="00D454BA">
      <w:pPr>
        <w:rPr>
          <w:sz w:val="24"/>
          <w:szCs w:val="24"/>
        </w:rPr>
      </w:pPr>
      <w:r w:rsidRPr="00A979A8">
        <w:rPr>
          <w:sz w:val="24"/>
          <w:szCs w:val="24"/>
          <w:highlight w:val="yellow"/>
        </w:rPr>
        <w:t xml:space="preserve">Action Item 0109-02:  </w:t>
      </w:r>
      <w:r w:rsidRPr="00A979A8">
        <w:rPr>
          <w:color w:val="FF0000"/>
          <w:sz w:val="24"/>
          <w:szCs w:val="24"/>
          <w:highlight w:val="yellow"/>
        </w:rPr>
        <w:t>John Malyar</w:t>
      </w:r>
      <w:r w:rsidRPr="00A979A8">
        <w:rPr>
          <w:sz w:val="24"/>
          <w:szCs w:val="24"/>
          <w:highlight w:val="yellow"/>
        </w:rPr>
        <w:t>, Telcordia, will distribute proposed revisions to industry documents, e.g., IIS, FRS, ASN.1, GDMO, related to Telcordia’s attached multi-vendor NPAC proposal in time for review in preparation for discussion at the March 2009 LNPA WG meeting.</w:t>
      </w:r>
    </w:p>
    <w:p w14:paraId="309C3208" w14:textId="77777777" w:rsidR="00D454BA" w:rsidRDefault="00D454BA" w:rsidP="00D454BA">
      <w:pPr>
        <w:ind w:left="720"/>
        <w:rPr>
          <w:sz w:val="24"/>
          <w:szCs w:val="24"/>
        </w:rPr>
      </w:pPr>
      <w:r>
        <w:rPr>
          <w:sz w:val="24"/>
          <w:szCs w:val="24"/>
        </w:rPr>
        <w:tab/>
      </w:r>
      <w:r>
        <w:rPr>
          <w:sz w:val="24"/>
          <w:szCs w:val="24"/>
        </w:rPr>
        <w:tab/>
      </w:r>
      <w:bookmarkStart w:id="1" w:name="_MON_1295169541"/>
      <w:bookmarkStart w:id="2" w:name="_MON_1295169664"/>
      <w:bookmarkEnd w:id="1"/>
      <w:bookmarkEnd w:id="2"/>
      <w:r w:rsidRPr="00346197">
        <w:rPr>
          <w:sz w:val="24"/>
          <w:szCs w:val="24"/>
        </w:rPr>
        <w:object w:dxaOrig="1536" w:dyaOrig="994" w14:anchorId="73C87BDD">
          <v:shape id="_x0000_i1026" type="#_x0000_t75" style="width:77pt;height:49.5pt" o:ole="">
            <v:imagedata r:id="rId9" o:title=""/>
          </v:shape>
          <o:OLEObject Type="Embed" ProgID="Word.Document.8" ShapeID="_x0000_i1026" DrawAspect="Icon" ObjectID="_1745751706" r:id="rId10">
            <o:FieldCodes>\s</o:FieldCodes>
          </o:OLEObject>
        </w:object>
      </w:r>
      <w:r>
        <w:rPr>
          <w:sz w:val="24"/>
          <w:szCs w:val="24"/>
        </w:rPr>
        <w:tab/>
      </w:r>
      <w:r w:rsidRPr="00346197">
        <w:rPr>
          <w:sz w:val="24"/>
          <w:szCs w:val="24"/>
        </w:rPr>
        <w:object w:dxaOrig="1536" w:dyaOrig="994" w14:anchorId="6D44B163">
          <v:shape id="_x0000_i1027" type="#_x0000_t75" style="width:77pt;height:49.5pt" o:ole="">
            <v:imagedata r:id="rId11" o:title=""/>
          </v:shape>
          <o:OLEObject Type="Embed" ProgID="AcroExch.Document.DC" ShapeID="_x0000_i1027" DrawAspect="Icon" ObjectID="_1745751707" r:id="rId12"/>
        </w:object>
      </w:r>
    </w:p>
    <w:p w14:paraId="733837F1" w14:textId="77777777" w:rsidR="00D454BA" w:rsidRDefault="00D454BA" w:rsidP="00D454BA">
      <w:pPr>
        <w:ind w:left="720"/>
        <w:rPr>
          <w:sz w:val="24"/>
          <w:szCs w:val="24"/>
        </w:rPr>
      </w:pPr>
    </w:p>
    <w:p w14:paraId="4EC70CFD" w14:textId="77777777" w:rsidR="00D454BA" w:rsidRDefault="00D454BA" w:rsidP="00D454BA">
      <w:pPr>
        <w:numPr>
          <w:ilvl w:val="0"/>
          <w:numId w:val="8"/>
        </w:numPr>
        <w:rPr>
          <w:sz w:val="24"/>
          <w:szCs w:val="24"/>
        </w:rPr>
      </w:pPr>
      <w:r>
        <w:rPr>
          <w:sz w:val="24"/>
          <w:szCs w:val="24"/>
        </w:rPr>
        <w:t>Telcordia provided an update to Action Item 0109-02.  Telcordia stated that documents in revisions mode will be distributed to the LNPA WG Co-Chairs during the week of February 23</w:t>
      </w:r>
      <w:r w:rsidRPr="00D454BA">
        <w:rPr>
          <w:sz w:val="24"/>
          <w:szCs w:val="24"/>
          <w:vertAlign w:val="superscript"/>
        </w:rPr>
        <w:t>rd</w:t>
      </w:r>
      <w:r>
        <w:rPr>
          <w:sz w:val="24"/>
          <w:szCs w:val="24"/>
        </w:rPr>
        <w:t>.  The Co-Chairs will then distribute the documents to the LNPA WG</w:t>
      </w:r>
      <w:r w:rsidR="0030510F">
        <w:rPr>
          <w:sz w:val="24"/>
          <w:szCs w:val="24"/>
        </w:rPr>
        <w:t xml:space="preserve"> for review prior to the March 2009 meeting</w:t>
      </w:r>
      <w:r>
        <w:rPr>
          <w:sz w:val="24"/>
          <w:szCs w:val="24"/>
        </w:rPr>
        <w:t>.</w:t>
      </w:r>
    </w:p>
    <w:p w14:paraId="454A2A3D" w14:textId="77777777" w:rsidR="0030510F" w:rsidRDefault="0030510F" w:rsidP="0030510F">
      <w:pPr>
        <w:rPr>
          <w:sz w:val="24"/>
          <w:szCs w:val="24"/>
        </w:rPr>
      </w:pPr>
    </w:p>
    <w:p w14:paraId="49434851" w14:textId="77777777" w:rsidR="00D454BA" w:rsidRDefault="0030510F" w:rsidP="0030510F">
      <w:pPr>
        <w:numPr>
          <w:ilvl w:val="0"/>
          <w:numId w:val="8"/>
        </w:numPr>
        <w:rPr>
          <w:sz w:val="24"/>
          <w:szCs w:val="24"/>
        </w:rPr>
      </w:pPr>
      <w:r>
        <w:rPr>
          <w:sz w:val="24"/>
          <w:szCs w:val="24"/>
        </w:rPr>
        <w:t>Telcordia stated that</w:t>
      </w:r>
      <w:r w:rsidR="00D454BA">
        <w:rPr>
          <w:sz w:val="24"/>
          <w:szCs w:val="24"/>
        </w:rPr>
        <w:t xml:space="preserve"> </w:t>
      </w:r>
      <w:r>
        <w:rPr>
          <w:sz w:val="24"/>
          <w:szCs w:val="24"/>
        </w:rPr>
        <w:t>the submitted documents during the week of February 23</w:t>
      </w:r>
      <w:r w:rsidRPr="0030510F">
        <w:rPr>
          <w:sz w:val="24"/>
          <w:szCs w:val="24"/>
          <w:vertAlign w:val="superscript"/>
        </w:rPr>
        <w:t>rd</w:t>
      </w:r>
      <w:r>
        <w:rPr>
          <w:sz w:val="24"/>
          <w:szCs w:val="24"/>
        </w:rPr>
        <w:t xml:space="preserve"> will include an expanded </w:t>
      </w:r>
      <w:r w:rsidR="00D454BA">
        <w:rPr>
          <w:sz w:val="24"/>
          <w:szCs w:val="24"/>
        </w:rPr>
        <w:t>NANC 437</w:t>
      </w:r>
      <w:r>
        <w:rPr>
          <w:sz w:val="24"/>
          <w:szCs w:val="24"/>
        </w:rPr>
        <w:t xml:space="preserve">, which will </w:t>
      </w:r>
      <w:r w:rsidR="00D454BA">
        <w:rPr>
          <w:sz w:val="24"/>
          <w:szCs w:val="24"/>
        </w:rPr>
        <w:t>frame the proposed architecture and provide a mo</w:t>
      </w:r>
      <w:r>
        <w:rPr>
          <w:sz w:val="24"/>
          <w:szCs w:val="24"/>
        </w:rPr>
        <w:t xml:space="preserve">re detailed overview of changes, the </w:t>
      </w:r>
      <w:r w:rsidR="00D454BA">
        <w:rPr>
          <w:sz w:val="24"/>
          <w:szCs w:val="24"/>
        </w:rPr>
        <w:t>F</w:t>
      </w:r>
      <w:r>
        <w:rPr>
          <w:sz w:val="24"/>
          <w:szCs w:val="24"/>
        </w:rPr>
        <w:t>unctional Requirements Specification (F</w:t>
      </w:r>
      <w:r w:rsidR="00D454BA">
        <w:rPr>
          <w:sz w:val="24"/>
          <w:szCs w:val="24"/>
        </w:rPr>
        <w:t>RS</w:t>
      </w:r>
      <w:r>
        <w:rPr>
          <w:sz w:val="24"/>
          <w:szCs w:val="24"/>
        </w:rPr>
        <w:t>) with change bars, and a s</w:t>
      </w:r>
      <w:r w:rsidR="00D454BA">
        <w:rPr>
          <w:sz w:val="24"/>
          <w:szCs w:val="24"/>
        </w:rPr>
        <w:t>et of representative IIS flows (</w:t>
      </w:r>
      <w:r w:rsidR="00CE48A0">
        <w:rPr>
          <w:sz w:val="24"/>
          <w:szCs w:val="24"/>
        </w:rPr>
        <w:t xml:space="preserve">approximately </w:t>
      </w:r>
      <w:r w:rsidR="00D454BA">
        <w:rPr>
          <w:sz w:val="24"/>
          <w:szCs w:val="24"/>
        </w:rPr>
        <w:t xml:space="preserve">20-25% of </w:t>
      </w:r>
      <w:r>
        <w:rPr>
          <w:sz w:val="24"/>
          <w:szCs w:val="24"/>
        </w:rPr>
        <w:t xml:space="preserve">the </w:t>
      </w:r>
      <w:r w:rsidR="00D454BA">
        <w:rPr>
          <w:sz w:val="24"/>
          <w:szCs w:val="24"/>
        </w:rPr>
        <w:t>flows</w:t>
      </w:r>
      <w:r>
        <w:rPr>
          <w:sz w:val="24"/>
          <w:szCs w:val="24"/>
        </w:rPr>
        <w:t>).  The</w:t>
      </w:r>
      <w:r w:rsidR="00D454BA">
        <w:rPr>
          <w:sz w:val="24"/>
          <w:szCs w:val="24"/>
        </w:rPr>
        <w:t xml:space="preserve"> remaining </w:t>
      </w:r>
      <w:r>
        <w:rPr>
          <w:sz w:val="24"/>
          <w:szCs w:val="24"/>
        </w:rPr>
        <w:t xml:space="preserve">IIS </w:t>
      </w:r>
      <w:r w:rsidR="00D454BA">
        <w:rPr>
          <w:sz w:val="24"/>
          <w:szCs w:val="24"/>
        </w:rPr>
        <w:t>flows</w:t>
      </w:r>
      <w:r w:rsidR="00CE48A0">
        <w:rPr>
          <w:sz w:val="24"/>
          <w:szCs w:val="24"/>
        </w:rPr>
        <w:t>, ASN.1, and GDMO</w:t>
      </w:r>
      <w:r w:rsidR="00D454BA">
        <w:rPr>
          <w:sz w:val="24"/>
          <w:szCs w:val="24"/>
        </w:rPr>
        <w:t xml:space="preserve"> </w:t>
      </w:r>
      <w:r>
        <w:rPr>
          <w:sz w:val="24"/>
          <w:szCs w:val="24"/>
        </w:rPr>
        <w:t xml:space="preserve">will be submitted </w:t>
      </w:r>
      <w:r w:rsidR="00D454BA">
        <w:rPr>
          <w:sz w:val="24"/>
          <w:szCs w:val="24"/>
        </w:rPr>
        <w:t>subsequ</w:t>
      </w:r>
      <w:r>
        <w:rPr>
          <w:sz w:val="24"/>
          <w:szCs w:val="24"/>
        </w:rPr>
        <w:t>ently</w:t>
      </w:r>
      <w:r w:rsidR="00D454BA">
        <w:rPr>
          <w:sz w:val="24"/>
          <w:szCs w:val="24"/>
        </w:rPr>
        <w:t>.</w:t>
      </w:r>
    </w:p>
    <w:p w14:paraId="353A2351" w14:textId="77777777" w:rsidR="00D454BA" w:rsidRDefault="00D454BA" w:rsidP="00763F18">
      <w:pPr>
        <w:rPr>
          <w:sz w:val="24"/>
        </w:rPr>
      </w:pPr>
    </w:p>
    <w:p w14:paraId="1269B6BE" w14:textId="77777777" w:rsidR="00A80B27" w:rsidRPr="00A80B27" w:rsidRDefault="00A80B27" w:rsidP="00E42C6A">
      <w:pPr>
        <w:rPr>
          <w:sz w:val="24"/>
          <w:u w:val="single"/>
        </w:rPr>
      </w:pPr>
      <w:r w:rsidRPr="00A80B27">
        <w:rPr>
          <w:sz w:val="24"/>
          <w:u w:val="single"/>
        </w:rPr>
        <w:t xml:space="preserve">Proposed PIM 68 Best </w:t>
      </w:r>
      <w:proofErr w:type="gramStart"/>
      <w:r w:rsidRPr="00A80B27">
        <w:rPr>
          <w:sz w:val="24"/>
          <w:u w:val="single"/>
        </w:rPr>
        <w:t>Practices  (</w:t>
      </w:r>
      <w:proofErr w:type="gramEnd"/>
      <w:r w:rsidRPr="00A80B27">
        <w:rPr>
          <w:sz w:val="24"/>
          <w:u w:val="single"/>
        </w:rPr>
        <w:t>Action Items 0109-09, 0109-10) – All</w:t>
      </w:r>
      <w:r>
        <w:rPr>
          <w:sz w:val="24"/>
          <w:u w:val="single"/>
        </w:rPr>
        <w:t>:</w:t>
      </w:r>
    </w:p>
    <w:p w14:paraId="7C94421B" w14:textId="77777777" w:rsidR="00A80B27" w:rsidRDefault="00A80B27" w:rsidP="00A80B27">
      <w:pPr>
        <w:ind w:left="360" w:firstLine="720"/>
      </w:pPr>
    </w:p>
    <w:bookmarkStart w:id="3" w:name="_MON_1745750278"/>
    <w:bookmarkEnd w:id="3"/>
    <w:p w14:paraId="5EB8F0A8" w14:textId="77777777" w:rsidR="00A80B27" w:rsidRDefault="00A80B27" w:rsidP="00A80B27">
      <w:pPr>
        <w:ind w:left="360"/>
        <w:rPr>
          <w:sz w:val="24"/>
        </w:rPr>
      </w:pPr>
      <w:r w:rsidRPr="009F2514">
        <w:object w:dxaOrig="1536" w:dyaOrig="994" w14:anchorId="7F561693">
          <v:shape id="_x0000_i1028" type="#_x0000_t75" style="width:77pt;height:49.5pt" o:ole="">
            <v:imagedata r:id="rId13" o:title=""/>
          </v:shape>
          <o:OLEObject Type="Embed" ProgID="Word.Document.8" ShapeID="_x0000_i1028" DrawAspect="Icon" ObjectID="_1745751708" r:id="rId14">
            <o:FieldCodes>\s</o:FieldCodes>
          </o:OLEObject>
        </w:object>
      </w:r>
    </w:p>
    <w:p w14:paraId="77F537C4" w14:textId="77777777" w:rsidR="00A80B27" w:rsidRPr="005E1C3D" w:rsidRDefault="00A80B27" w:rsidP="00E42C6A">
      <w:pPr>
        <w:rPr>
          <w:sz w:val="24"/>
          <w:szCs w:val="24"/>
        </w:rPr>
      </w:pPr>
      <w:r w:rsidRPr="005E1C3D">
        <w:rPr>
          <w:sz w:val="24"/>
          <w:szCs w:val="24"/>
          <w:highlight w:val="yellow"/>
        </w:rPr>
        <w:t xml:space="preserve">Action Item 0109-09:  </w:t>
      </w:r>
      <w:r w:rsidRPr="005E1C3D">
        <w:rPr>
          <w:color w:val="FF0000"/>
          <w:sz w:val="24"/>
          <w:szCs w:val="24"/>
          <w:highlight w:val="yellow"/>
        </w:rPr>
        <w:t>Service Providers</w:t>
      </w:r>
      <w:r w:rsidRPr="005E1C3D">
        <w:rPr>
          <w:sz w:val="24"/>
          <w:szCs w:val="24"/>
          <w:highlight w:val="yellow"/>
        </w:rPr>
        <w:t xml:space="preserve"> are to review the attached proposed Best Practice on pooled blocks and come prepared on the February 10, </w:t>
      </w:r>
      <w:proofErr w:type="gramStart"/>
      <w:r w:rsidRPr="005E1C3D">
        <w:rPr>
          <w:sz w:val="24"/>
          <w:szCs w:val="24"/>
          <w:highlight w:val="yellow"/>
        </w:rPr>
        <w:t>2009</w:t>
      </w:r>
      <w:proofErr w:type="gramEnd"/>
      <w:r w:rsidRPr="005E1C3D">
        <w:rPr>
          <w:sz w:val="24"/>
          <w:szCs w:val="24"/>
          <w:highlight w:val="yellow"/>
        </w:rPr>
        <w:t xml:space="preserve"> LNPA WG conference call to suggest any revisions.  See related Action Item 0109-10.</w:t>
      </w:r>
    </w:p>
    <w:bookmarkStart w:id="4" w:name="_MON_1291460927"/>
    <w:bookmarkStart w:id="5" w:name="_MON_1295765310"/>
    <w:bookmarkStart w:id="6" w:name="_MON_1296560677"/>
    <w:bookmarkEnd w:id="4"/>
    <w:bookmarkEnd w:id="5"/>
    <w:bookmarkEnd w:id="6"/>
    <w:p w14:paraId="15695922" w14:textId="77777777" w:rsidR="00A80B27" w:rsidRDefault="00A80B27" w:rsidP="00E42C6A">
      <w:pPr>
        <w:ind w:firstLine="720"/>
      </w:pPr>
      <w:r>
        <w:object w:dxaOrig="1536" w:dyaOrig="994" w14:anchorId="24AD1019">
          <v:shape id="_x0000_i1029" type="#_x0000_t75" style="width:77pt;height:49.5pt" o:ole="">
            <v:imagedata r:id="rId15" o:title=""/>
          </v:shape>
          <o:OLEObject Type="Embed" ProgID="Word.Document.8" ShapeID="_x0000_i1029" DrawAspect="Icon" ObjectID="_1745751709" r:id="rId16">
            <o:FieldCodes>\s</o:FieldCodes>
          </o:OLEObject>
        </w:object>
      </w:r>
    </w:p>
    <w:p w14:paraId="058D3BCE" w14:textId="77777777" w:rsidR="00A80B27" w:rsidRDefault="00FC01B1" w:rsidP="00FC01B1">
      <w:pPr>
        <w:numPr>
          <w:ilvl w:val="0"/>
          <w:numId w:val="3"/>
        </w:numPr>
        <w:rPr>
          <w:sz w:val="24"/>
          <w:szCs w:val="24"/>
        </w:rPr>
      </w:pPr>
      <w:r>
        <w:rPr>
          <w:sz w:val="24"/>
          <w:szCs w:val="24"/>
        </w:rPr>
        <w:lastRenderedPageBreak/>
        <w:t>The group reviewed that draft proposed Best Practice above addressing breaking out individual SV records from pooled 1K blocks, which is related to PIM 68 submitted by AT&amp;T Mobility.</w:t>
      </w:r>
    </w:p>
    <w:p w14:paraId="163C0822" w14:textId="77777777" w:rsidR="00FC01B1" w:rsidRDefault="00FC01B1" w:rsidP="00FC01B1">
      <w:pPr>
        <w:rPr>
          <w:sz w:val="24"/>
          <w:szCs w:val="24"/>
        </w:rPr>
      </w:pPr>
    </w:p>
    <w:p w14:paraId="1810BFF8" w14:textId="77777777" w:rsidR="00FC01B1" w:rsidRPr="00FC01B1" w:rsidRDefault="00FC01B1" w:rsidP="00FC01B1">
      <w:pPr>
        <w:numPr>
          <w:ilvl w:val="0"/>
          <w:numId w:val="3"/>
        </w:numPr>
        <w:rPr>
          <w:sz w:val="24"/>
          <w:szCs w:val="24"/>
        </w:rPr>
      </w:pPr>
      <w:r>
        <w:rPr>
          <w:sz w:val="24"/>
          <w:szCs w:val="24"/>
        </w:rPr>
        <w:t>Verizon offered that attached revision to the proposed Best Practice, which recommends that</w:t>
      </w:r>
      <w:r w:rsidRPr="00FC01B1">
        <w:rPr>
          <w:sz w:val="24"/>
          <w:szCs w:val="24"/>
        </w:rPr>
        <w:t>, “it is the position of the LNPA-WG that service providers, or others working on their behalf, should limit to the extent possible breaking pooled thousands blocks apart and creating individual Subscription Versions (SVs) in order to facilitate projects or for other purposes</w:t>
      </w:r>
      <w:r>
        <w:rPr>
          <w:sz w:val="24"/>
          <w:szCs w:val="24"/>
        </w:rPr>
        <w:t>.”</w:t>
      </w:r>
    </w:p>
    <w:p w14:paraId="55A148BC" w14:textId="77777777" w:rsidR="00FC01B1" w:rsidRDefault="00FC01B1" w:rsidP="00FC01B1">
      <w:pPr>
        <w:rPr>
          <w:sz w:val="24"/>
          <w:szCs w:val="24"/>
        </w:rPr>
      </w:pPr>
    </w:p>
    <w:bookmarkStart w:id="7" w:name="_MON_1295800828"/>
    <w:bookmarkStart w:id="8" w:name="_MON_1295800840"/>
    <w:bookmarkStart w:id="9" w:name="_MON_1296560873"/>
    <w:bookmarkEnd w:id="7"/>
    <w:bookmarkEnd w:id="8"/>
    <w:bookmarkEnd w:id="9"/>
    <w:p w14:paraId="2770449E" w14:textId="77777777" w:rsidR="00FC01B1" w:rsidRDefault="00FC01B1" w:rsidP="00FC01B1">
      <w:pPr>
        <w:ind w:left="720"/>
        <w:rPr>
          <w:sz w:val="24"/>
          <w:szCs w:val="24"/>
        </w:rPr>
      </w:pPr>
      <w:r w:rsidRPr="00557FAA">
        <w:rPr>
          <w:sz w:val="24"/>
        </w:rPr>
        <w:object w:dxaOrig="1536" w:dyaOrig="994" w14:anchorId="1E4F4AF4">
          <v:shape id="_x0000_i1030" type="#_x0000_t75" style="width:77pt;height:49.5pt" o:ole="">
            <v:imagedata r:id="rId17" o:title=""/>
          </v:shape>
          <o:OLEObject Type="Embed" ProgID="Word.Document.8" ShapeID="_x0000_i1030" DrawAspect="Icon" ObjectID="_1745751710" r:id="rId18">
            <o:FieldCodes>\s</o:FieldCodes>
          </o:OLEObject>
        </w:object>
      </w:r>
    </w:p>
    <w:p w14:paraId="19051F97" w14:textId="77777777" w:rsidR="00FC01B1" w:rsidRDefault="00FC01B1" w:rsidP="00A80B27">
      <w:pPr>
        <w:rPr>
          <w:sz w:val="24"/>
          <w:szCs w:val="24"/>
        </w:rPr>
      </w:pPr>
    </w:p>
    <w:p w14:paraId="7499B48D" w14:textId="77777777" w:rsidR="00FC01B1" w:rsidRPr="00FC01B1" w:rsidRDefault="00FC01B1" w:rsidP="00FC01B1">
      <w:pPr>
        <w:numPr>
          <w:ilvl w:val="0"/>
          <w:numId w:val="4"/>
        </w:numPr>
        <w:rPr>
          <w:sz w:val="24"/>
          <w:szCs w:val="24"/>
        </w:rPr>
      </w:pPr>
      <w:r>
        <w:rPr>
          <w:sz w:val="24"/>
          <w:szCs w:val="24"/>
        </w:rPr>
        <w:t xml:space="preserve">Some changes were made to the Verizon proposal (captured in the file attached above), after which the proposed Best Practice was accepted by the group.  </w:t>
      </w:r>
      <w:r>
        <w:rPr>
          <w:color w:val="FF0000"/>
          <w:sz w:val="24"/>
        </w:rPr>
        <w:t>Gary Sacra</w:t>
      </w:r>
      <w:r>
        <w:rPr>
          <w:sz w:val="24"/>
        </w:rPr>
        <w:t>, LNPA WG Co-Chair, will accept the revisions, create a new Best Practice, and forward it to Mohamed Samater, T-Mobile, for uploading to the LNPA WG’s Best Practice website location.</w:t>
      </w:r>
    </w:p>
    <w:p w14:paraId="47B0771D" w14:textId="77777777" w:rsidR="00FC01B1" w:rsidRDefault="00FC01B1" w:rsidP="00FC01B1">
      <w:pPr>
        <w:rPr>
          <w:sz w:val="24"/>
        </w:rPr>
      </w:pPr>
    </w:p>
    <w:p w14:paraId="57D670F8" w14:textId="77777777" w:rsidR="00FC01B1" w:rsidRPr="00FC01B1" w:rsidRDefault="00FC01B1" w:rsidP="00FC01B1">
      <w:pPr>
        <w:numPr>
          <w:ilvl w:val="0"/>
          <w:numId w:val="4"/>
        </w:numPr>
        <w:rPr>
          <w:sz w:val="24"/>
          <w:szCs w:val="24"/>
        </w:rPr>
      </w:pPr>
      <w:r>
        <w:rPr>
          <w:sz w:val="24"/>
          <w:szCs w:val="24"/>
        </w:rPr>
        <w:t>Action Item 0109-09 was closed.</w:t>
      </w:r>
    </w:p>
    <w:p w14:paraId="58B8C757" w14:textId="77777777" w:rsidR="00A80B27" w:rsidRDefault="00A80B27" w:rsidP="00A80B27">
      <w:pPr>
        <w:rPr>
          <w:sz w:val="24"/>
        </w:rPr>
      </w:pPr>
    </w:p>
    <w:p w14:paraId="43C42800" w14:textId="77777777" w:rsidR="00A80B27" w:rsidRPr="005E1C3D" w:rsidRDefault="00A80B27" w:rsidP="00104BC6">
      <w:pPr>
        <w:rPr>
          <w:color w:val="FF0000"/>
          <w:sz w:val="24"/>
          <w:szCs w:val="24"/>
          <w:highlight w:val="yellow"/>
        </w:rPr>
      </w:pPr>
      <w:r w:rsidRPr="005E1C3D">
        <w:rPr>
          <w:sz w:val="24"/>
          <w:highlight w:val="yellow"/>
        </w:rPr>
        <w:t xml:space="preserve">Action Item </w:t>
      </w:r>
      <w:r w:rsidRPr="005E1C3D">
        <w:rPr>
          <w:sz w:val="24"/>
          <w:szCs w:val="24"/>
          <w:highlight w:val="yellow"/>
        </w:rPr>
        <w:t xml:space="preserve">0109-10:  In preparation for the February 10, </w:t>
      </w:r>
      <w:proofErr w:type="gramStart"/>
      <w:r w:rsidRPr="005E1C3D">
        <w:rPr>
          <w:sz w:val="24"/>
          <w:szCs w:val="24"/>
          <w:highlight w:val="yellow"/>
        </w:rPr>
        <w:t>2009</w:t>
      </w:r>
      <w:proofErr w:type="gramEnd"/>
      <w:r w:rsidRPr="005E1C3D">
        <w:rPr>
          <w:sz w:val="24"/>
          <w:szCs w:val="24"/>
          <w:highlight w:val="yellow"/>
        </w:rPr>
        <w:t xml:space="preserve"> LNPA WG conference call, </w:t>
      </w:r>
      <w:r w:rsidRPr="005E1C3D">
        <w:rPr>
          <w:color w:val="FF0000"/>
          <w:sz w:val="24"/>
          <w:szCs w:val="24"/>
          <w:highlight w:val="yellow"/>
        </w:rPr>
        <w:t>Service Providers</w:t>
      </w:r>
      <w:r w:rsidRPr="005E1C3D">
        <w:rPr>
          <w:sz w:val="24"/>
          <w:szCs w:val="24"/>
          <w:highlight w:val="yellow"/>
        </w:rPr>
        <w:t xml:space="preserve"> are to review the attached two proposed Best Practice options on the use of the “Future Use” fields and be prepared to discuss which of the following three options is preferred.  See related Action Item 0109-09.</w:t>
      </w:r>
    </w:p>
    <w:p w14:paraId="573F6835" w14:textId="77777777" w:rsidR="00A80B27" w:rsidRPr="005E1C3D" w:rsidRDefault="00A80B27" w:rsidP="00A80B27">
      <w:pPr>
        <w:numPr>
          <w:ilvl w:val="0"/>
          <w:numId w:val="2"/>
        </w:numPr>
        <w:rPr>
          <w:snapToGrid w:val="0"/>
          <w:sz w:val="24"/>
          <w:szCs w:val="24"/>
          <w:highlight w:val="yellow"/>
        </w:rPr>
      </w:pPr>
      <w:r w:rsidRPr="005E1C3D">
        <w:rPr>
          <w:sz w:val="24"/>
          <w:szCs w:val="24"/>
          <w:highlight w:val="yellow"/>
        </w:rPr>
        <w:t>Attached Option A which proposes that the 3 “Future Use” fields, or their “Alt” Optional Data counterparts, not be populated until such time that the LNPA WG has defined their use(s).</w:t>
      </w:r>
    </w:p>
    <w:bookmarkStart w:id="10" w:name="_MON_1295166786"/>
    <w:bookmarkStart w:id="11" w:name="_MON_1295167300"/>
    <w:bookmarkEnd w:id="10"/>
    <w:bookmarkEnd w:id="11"/>
    <w:p w14:paraId="368D9BC9" w14:textId="77777777" w:rsidR="00A80B27" w:rsidRPr="005E1C3D" w:rsidRDefault="00A80B27" w:rsidP="00A80B27">
      <w:pPr>
        <w:ind w:left="2160"/>
        <w:rPr>
          <w:highlight w:val="yellow"/>
        </w:rPr>
      </w:pPr>
      <w:r w:rsidRPr="005E1C3D">
        <w:rPr>
          <w:highlight w:val="yellow"/>
        </w:rPr>
        <w:object w:dxaOrig="1536" w:dyaOrig="994" w14:anchorId="62FB2B22">
          <v:shape id="_x0000_i1031" type="#_x0000_t75" style="width:77pt;height:49.5pt" o:ole="">
            <v:imagedata r:id="rId19" o:title=""/>
          </v:shape>
          <o:OLEObject Type="Embed" ProgID="Word.Document.8" ShapeID="_x0000_i1031" DrawAspect="Icon" ObjectID="_1745751711" r:id="rId20">
            <o:FieldCodes>\s</o:FieldCodes>
          </o:OLEObject>
        </w:object>
      </w:r>
    </w:p>
    <w:p w14:paraId="719E4263" w14:textId="77777777" w:rsidR="00A80B27" w:rsidRPr="005E1C3D" w:rsidRDefault="00A80B27" w:rsidP="00A80B27">
      <w:pPr>
        <w:numPr>
          <w:ilvl w:val="0"/>
          <w:numId w:val="2"/>
        </w:numPr>
        <w:rPr>
          <w:snapToGrid w:val="0"/>
          <w:sz w:val="24"/>
          <w:szCs w:val="24"/>
          <w:highlight w:val="yellow"/>
        </w:rPr>
      </w:pPr>
      <w:r w:rsidRPr="005E1C3D">
        <w:rPr>
          <w:sz w:val="24"/>
          <w:szCs w:val="24"/>
          <w:highlight w:val="yellow"/>
        </w:rPr>
        <w:t xml:space="preserve">Attached Option B which proposes that the 3 “Future Use” fields, and their “Alt” Optional Data counterparts, may be populated </w:t>
      </w:r>
      <w:proofErr w:type="gramStart"/>
      <w:r w:rsidRPr="005E1C3D">
        <w:rPr>
          <w:sz w:val="24"/>
          <w:szCs w:val="24"/>
          <w:highlight w:val="yellow"/>
        </w:rPr>
        <w:t>as long as</w:t>
      </w:r>
      <w:proofErr w:type="gramEnd"/>
      <w:r w:rsidRPr="005E1C3D">
        <w:rPr>
          <w:sz w:val="24"/>
          <w:szCs w:val="24"/>
          <w:highlight w:val="yellow"/>
        </w:rPr>
        <w:t xml:space="preserve"> it is done concurrently with porting/pooling transactions.</w:t>
      </w:r>
    </w:p>
    <w:bookmarkStart w:id="12" w:name="_MON_1295166819"/>
    <w:bookmarkStart w:id="13" w:name="_MON_1295167428"/>
    <w:bookmarkStart w:id="14" w:name="_MON_1296562003"/>
    <w:bookmarkEnd w:id="12"/>
    <w:bookmarkEnd w:id="13"/>
    <w:bookmarkEnd w:id="14"/>
    <w:p w14:paraId="5F65BE08" w14:textId="77777777" w:rsidR="00A80B27" w:rsidRPr="005E1C3D" w:rsidRDefault="00A80B27" w:rsidP="00A80B27">
      <w:pPr>
        <w:ind w:left="2160"/>
        <w:rPr>
          <w:sz w:val="24"/>
          <w:szCs w:val="24"/>
          <w:highlight w:val="yellow"/>
        </w:rPr>
      </w:pPr>
      <w:r w:rsidRPr="005E1C3D">
        <w:rPr>
          <w:highlight w:val="yellow"/>
        </w:rPr>
        <w:object w:dxaOrig="1536" w:dyaOrig="994" w14:anchorId="58B2B5E7">
          <v:shape id="_x0000_i1032" type="#_x0000_t75" style="width:77pt;height:49.5pt" o:ole="">
            <v:imagedata r:id="rId21" o:title=""/>
          </v:shape>
          <o:OLEObject Type="Embed" ProgID="Word.Document.8" ShapeID="_x0000_i1032" DrawAspect="Icon" ObjectID="_1745751712" r:id="rId22">
            <o:FieldCodes>\s</o:FieldCodes>
          </o:OLEObject>
        </w:object>
      </w:r>
    </w:p>
    <w:p w14:paraId="5D3832AA" w14:textId="77777777" w:rsidR="00A80B27" w:rsidRPr="005E1C3D" w:rsidRDefault="00A80B27" w:rsidP="00A80B27">
      <w:pPr>
        <w:numPr>
          <w:ilvl w:val="0"/>
          <w:numId w:val="2"/>
        </w:numPr>
        <w:rPr>
          <w:snapToGrid w:val="0"/>
          <w:sz w:val="24"/>
          <w:szCs w:val="24"/>
          <w:highlight w:val="yellow"/>
        </w:rPr>
      </w:pPr>
      <w:r w:rsidRPr="005E1C3D">
        <w:rPr>
          <w:snapToGrid w:val="0"/>
          <w:sz w:val="24"/>
          <w:szCs w:val="24"/>
          <w:highlight w:val="yellow"/>
        </w:rPr>
        <w:t>As a 3</w:t>
      </w:r>
      <w:r w:rsidRPr="005E1C3D">
        <w:rPr>
          <w:snapToGrid w:val="0"/>
          <w:sz w:val="24"/>
          <w:szCs w:val="24"/>
          <w:highlight w:val="yellow"/>
          <w:vertAlign w:val="superscript"/>
        </w:rPr>
        <w:t>rd</w:t>
      </w:r>
      <w:r w:rsidRPr="005E1C3D">
        <w:rPr>
          <w:snapToGrid w:val="0"/>
          <w:sz w:val="24"/>
          <w:szCs w:val="24"/>
          <w:highlight w:val="yellow"/>
        </w:rPr>
        <w:t xml:space="preserve"> option, do nothing in terms of developing a Best Practice related to the use of these fields/parameters, and work to define industry-approved use(s)/definition(s) for them.</w:t>
      </w:r>
    </w:p>
    <w:p w14:paraId="4FFC83F7" w14:textId="77777777" w:rsidR="00A80B27" w:rsidRDefault="00A80B27" w:rsidP="00A80B27">
      <w:pPr>
        <w:rPr>
          <w:sz w:val="24"/>
        </w:rPr>
      </w:pPr>
    </w:p>
    <w:p w14:paraId="255F7D43" w14:textId="77777777" w:rsidR="00A9418A" w:rsidRDefault="00A9418A" w:rsidP="00A9418A">
      <w:pPr>
        <w:numPr>
          <w:ilvl w:val="0"/>
          <w:numId w:val="5"/>
        </w:numPr>
        <w:rPr>
          <w:sz w:val="24"/>
        </w:rPr>
      </w:pPr>
      <w:r>
        <w:rPr>
          <w:sz w:val="24"/>
        </w:rPr>
        <w:t xml:space="preserve">During the discussion, concerns were expressed by </w:t>
      </w:r>
      <w:proofErr w:type="gramStart"/>
      <w:r>
        <w:rPr>
          <w:sz w:val="24"/>
        </w:rPr>
        <w:t>a number of</w:t>
      </w:r>
      <w:proofErr w:type="gramEnd"/>
      <w:r>
        <w:rPr>
          <w:sz w:val="24"/>
        </w:rPr>
        <w:t xml:space="preserve"> providers with regard to Option A and the potential repercussions of attempting to prohibit the use of these </w:t>
      </w:r>
      <w:r>
        <w:rPr>
          <w:sz w:val="24"/>
        </w:rPr>
        <w:lastRenderedPageBreak/>
        <w:t xml:space="preserve">fields which have been available for use since the inception of porting.  There </w:t>
      </w:r>
      <w:proofErr w:type="gramStart"/>
      <w:r>
        <w:rPr>
          <w:sz w:val="24"/>
        </w:rPr>
        <w:t>was</w:t>
      </w:r>
      <w:proofErr w:type="gramEnd"/>
      <w:r>
        <w:rPr>
          <w:sz w:val="24"/>
        </w:rPr>
        <w:t xml:space="preserve"> also concerns expressed regarding possible creation of individual SVs solely for the purpose of populating one or more of these fields/parameters, actions which could possibly lead to service provider database capacity exhaust.</w:t>
      </w:r>
    </w:p>
    <w:p w14:paraId="5B5547B5" w14:textId="77777777" w:rsidR="00A9418A" w:rsidRDefault="00A9418A" w:rsidP="00A9418A">
      <w:pPr>
        <w:rPr>
          <w:sz w:val="24"/>
        </w:rPr>
      </w:pPr>
    </w:p>
    <w:p w14:paraId="71ACD8D2" w14:textId="77777777" w:rsidR="00881155" w:rsidRDefault="00A9418A" w:rsidP="00881155">
      <w:pPr>
        <w:numPr>
          <w:ilvl w:val="0"/>
          <w:numId w:val="5"/>
        </w:numPr>
        <w:rPr>
          <w:sz w:val="24"/>
        </w:rPr>
      </w:pPr>
      <w:r>
        <w:rPr>
          <w:sz w:val="24"/>
        </w:rPr>
        <w:t xml:space="preserve">During the discussion, a service provider proposed </w:t>
      </w:r>
      <w:r w:rsidR="00881155">
        <w:rPr>
          <w:sz w:val="24"/>
        </w:rPr>
        <w:t xml:space="preserve">a modified version of Option B, which would allow population of any of these fields/parameters </w:t>
      </w:r>
      <w:proofErr w:type="gramStart"/>
      <w:r w:rsidR="00A80B27">
        <w:rPr>
          <w:sz w:val="24"/>
        </w:rPr>
        <w:t>as long</w:t>
      </w:r>
      <w:r w:rsidR="00881155">
        <w:rPr>
          <w:sz w:val="24"/>
        </w:rPr>
        <w:t xml:space="preserve"> as</w:t>
      </w:r>
      <w:proofErr w:type="gramEnd"/>
      <w:r w:rsidR="00881155">
        <w:rPr>
          <w:sz w:val="24"/>
        </w:rPr>
        <w:t xml:space="preserve"> it was</w:t>
      </w:r>
      <w:r w:rsidR="00A80B27">
        <w:rPr>
          <w:sz w:val="24"/>
        </w:rPr>
        <w:t xml:space="preserve"> in conjunction with the normal creation of an SV or </w:t>
      </w:r>
      <w:r w:rsidR="00881155">
        <w:rPr>
          <w:sz w:val="24"/>
        </w:rPr>
        <w:t>a modify of an existing SV.  In addition, the provider proposed that the LNPA WG should designate the use of these fields/parameters as</w:t>
      </w:r>
      <w:r w:rsidR="00A80B27">
        <w:rPr>
          <w:sz w:val="24"/>
        </w:rPr>
        <w:t xml:space="preserve"> “memo” fields</w:t>
      </w:r>
      <w:r w:rsidR="00881155">
        <w:rPr>
          <w:sz w:val="24"/>
        </w:rPr>
        <w:t>/parameters</w:t>
      </w:r>
      <w:r w:rsidR="00A80B27">
        <w:rPr>
          <w:sz w:val="24"/>
        </w:rPr>
        <w:t xml:space="preserve">.  </w:t>
      </w:r>
      <w:r w:rsidR="00881155">
        <w:rPr>
          <w:sz w:val="24"/>
        </w:rPr>
        <w:t>Another provider</w:t>
      </w:r>
      <w:r w:rsidR="00A80B27">
        <w:rPr>
          <w:sz w:val="24"/>
        </w:rPr>
        <w:t xml:space="preserve"> asked how </w:t>
      </w:r>
      <w:r w:rsidR="00881155">
        <w:rPr>
          <w:sz w:val="24"/>
        </w:rPr>
        <w:t xml:space="preserve">we would </w:t>
      </w:r>
      <w:r w:rsidR="00A80B27">
        <w:rPr>
          <w:sz w:val="24"/>
        </w:rPr>
        <w:t>know that an individual SV was being created solely for the purpose of popula</w:t>
      </w:r>
      <w:r w:rsidR="00881155">
        <w:rPr>
          <w:sz w:val="24"/>
        </w:rPr>
        <w:t xml:space="preserve">ting these fields.  </w:t>
      </w:r>
      <w:proofErr w:type="spellStart"/>
      <w:r w:rsidR="00881155">
        <w:rPr>
          <w:sz w:val="24"/>
        </w:rPr>
        <w:t>NeuStar</w:t>
      </w:r>
      <w:proofErr w:type="spellEnd"/>
      <w:r w:rsidR="00881155">
        <w:rPr>
          <w:sz w:val="24"/>
        </w:rPr>
        <w:t xml:space="preserve"> stated that</w:t>
      </w:r>
      <w:r w:rsidR="00A80B27">
        <w:rPr>
          <w:sz w:val="24"/>
        </w:rPr>
        <w:t xml:space="preserve"> there is </w:t>
      </w:r>
      <w:r w:rsidR="00881155">
        <w:rPr>
          <w:sz w:val="24"/>
        </w:rPr>
        <w:t xml:space="preserve">really </w:t>
      </w:r>
      <w:r w:rsidR="00A80B27">
        <w:rPr>
          <w:sz w:val="24"/>
        </w:rPr>
        <w:t>no way to tell</w:t>
      </w:r>
      <w:r w:rsidR="00881155">
        <w:rPr>
          <w:sz w:val="24"/>
        </w:rPr>
        <w:t xml:space="preserve"> because the NPAC does not track what fields are modified on any given transaction</w:t>
      </w:r>
      <w:r w:rsidR="00A80B27">
        <w:rPr>
          <w:sz w:val="24"/>
        </w:rPr>
        <w:t xml:space="preserve">.  </w:t>
      </w:r>
    </w:p>
    <w:p w14:paraId="0F06E9FA" w14:textId="77777777" w:rsidR="00881155" w:rsidRDefault="00881155" w:rsidP="00881155">
      <w:pPr>
        <w:rPr>
          <w:sz w:val="24"/>
        </w:rPr>
      </w:pPr>
    </w:p>
    <w:p w14:paraId="174ACEB3" w14:textId="77777777" w:rsidR="00881155" w:rsidRDefault="00881155" w:rsidP="00881155">
      <w:pPr>
        <w:numPr>
          <w:ilvl w:val="0"/>
          <w:numId w:val="5"/>
        </w:numPr>
        <w:rPr>
          <w:sz w:val="24"/>
        </w:rPr>
      </w:pPr>
      <w:r>
        <w:rPr>
          <w:color w:val="FF0000"/>
          <w:sz w:val="24"/>
        </w:rPr>
        <w:t>Gary Sacra</w:t>
      </w:r>
      <w:r>
        <w:rPr>
          <w:sz w:val="24"/>
        </w:rPr>
        <w:t xml:space="preserve">, Verizon, will work with Renee Dillon, AT&amp;T Mobility, to </w:t>
      </w:r>
      <w:proofErr w:type="gramStart"/>
      <w:r>
        <w:rPr>
          <w:sz w:val="24"/>
        </w:rPr>
        <w:t>rewrite</w:t>
      </w:r>
      <w:proofErr w:type="gramEnd"/>
    </w:p>
    <w:p w14:paraId="2BE86951" w14:textId="77777777" w:rsidR="00881155" w:rsidRDefault="00881155" w:rsidP="00881155">
      <w:pPr>
        <w:ind w:left="360"/>
        <w:rPr>
          <w:sz w:val="24"/>
        </w:rPr>
      </w:pPr>
      <w:r>
        <w:rPr>
          <w:sz w:val="24"/>
        </w:rPr>
        <w:t xml:space="preserve">the attached proposed Best Practice Option B on the use of the “future use” fields and their “alt” Optional Data parameter counterparts.  As </w:t>
      </w:r>
      <w:proofErr w:type="gramStart"/>
      <w:r>
        <w:rPr>
          <w:sz w:val="24"/>
        </w:rPr>
        <w:t>agreed</w:t>
      </w:r>
      <w:proofErr w:type="gramEnd"/>
      <w:r>
        <w:rPr>
          <w:sz w:val="24"/>
        </w:rPr>
        <w:t xml:space="preserve"> to on the February 10, 2009 LNPA WG conference call, the rewrite proposal will reflect the following:</w:t>
      </w:r>
    </w:p>
    <w:p w14:paraId="0E1D1C6C" w14:textId="77777777" w:rsidR="00881155" w:rsidRDefault="00881155" w:rsidP="00881155">
      <w:pPr>
        <w:numPr>
          <w:ilvl w:val="0"/>
          <w:numId w:val="6"/>
        </w:numPr>
        <w:rPr>
          <w:sz w:val="24"/>
        </w:rPr>
      </w:pPr>
      <w:r>
        <w:rPr>
          <w:sz w:val="24"/>
        </w:rPr>
        <w:t>population of the fields and parameters is acceptable provided that a new record is not being created solely for the purpose of populating one or more of these fields/parameters,</w:t>
      </w:r>
    </w:p>
    <w:p w14:paraId="0DD82677" w14:textId="77777777" w:rsidR="00881155" w:rsidRDefault="00881155" w:rsidP="00881155">
      <w:pPr>
        <w:numPr>
          <w:ilvl w:val="0"/>
          <w:numId w:val="6"/>
        </w:numPr>
        <w:rPr>
          <w:sz w:val="24"/>
        </w:rPr>
      </w:pPr>
      <w:r>
        <w:rPr>
          <w:sz w:val="24"/>
        </w:rPr>
        <w:t>population of the fields and parameters is acceptable if done via a modify of an existing record,</w:t>
      </w:r>
    </w:p>
    <w:p w14:paraId="384864CB" w14:textId="77777777" w:rsidR="00881155" w:rsidRDefault="00881155" w:rsidP="00881155">
      <w:pPr>
        <w:numPr>
          <w:ilvl w:val="0"/>
          <w:numId w:val="6"/>
        </w:numPr>
        <w:rPr>
          <w:sz w:val="24"/>
        </w:rPr>
      </w:pPr>
      <w:r>
        <w:rPr>
          <w:sz w:val="24"/>
        </w:rPr>
        <w:t>The LNPA WG will not attempt to define strict usages or definitions for these fields/parameters.  These fields/parameters will be considered “memo” or “scratch pad” fields/parameters to reflect their varied use over the years and continued use by service providers.  Discussion will need to take place on how, or if, any requirements changes will be made to reflect this.</w:t>
      </w:r>
    </w:p>
    <w:p w14:paraId="4C4F971D" w14:textId="77777777" w:rsidR="00881155" w:rsidRDefault="00881155" w:rsidP="00881155">
      <w:pPr>
        <w:ind w:left="720"/>
        <w:rPr>
          <w:sz w:val="24"/>
        </w:rPr>
      </w:pPr>
      <w:r>
        <w:rPr>
          <w:sz w:val="24"/>
        </w:rPr>
        <w:t>Once rewritten, the proposed Best Practice will be distributed to the LNPA WG for review and discussion at the March 2009 LNPA WG meeting.</w:t>
      </w:r>
    </w:p>
    <w:p w14:paraId="2465056F" w14:textId="77777777" w:rsidR="00881155" w:rsidRDefault="00881155" w:rsidP="00881155">
      <w:pPr>
        <w:rPr>
          <w:sz w:val="24"/>
        </w:rPr>
      </w:pPr>
    </w:p>
    <w:p w14:paraId="528E3B41" w14:textId="77777777" w:rsidR="00881155" w:rsidRDefault="00976F8C" w:rsidP="00881155">
      <w:pPr>
        <w:numPr>
          <w:ilvl w:val="0"/>
          <w:numId w:val="7"/>
        </w:numPr>
        <w:rPr>
          <w:sz w:val="24"/>
        </w:rPr>
      </w:pPr>
      <w:r>
        <w:rPr>
          <w:sz w:val="24"/>
        </w:rPr>
        <w:t>Action 0109-10 remains open.  All options, including the new one described above will be discussed at the March 2009 LNPA WG meeting.</w:t>
      </w:r>
    </w:p>
    <w:p w14:paraId="358414D7" w14:textId="77777777" w:rsidR="00881155" w:rsidRDefault="00881155" w:rsidP="00881155">
      <w:pPr>
        <w:rPr>
          <w:sz w:val="24"/>
        </w:rPr>
      </w:pPr>
    </w:p>
    <w:p w14:paraId="272048FC" w14:textId="77777777" w:rsidR="000710D4" w:rsidRPr="000710D4" w:rsidRDefault="000710D4" w:rsidP="000710D4">
      <w:pPr>
        <w:rPr>
          <w:sz w:val="24"/>
          <w:u w:val="single"/>
        </w:rPr>
      </w:pPr>
      <w:r w:rsidRPr="000710D4">
        <w:rPr>
          <w:sz w:val="24"/>
          <w:u w:val="single"/>
        </w:rPr>
        <w:t xml:space="preserve">Readout of January 25, </w:t>
      </w:r>
      <w:proofErr w:type="gramStart"/>
      <w:r w:rsidRPr="000710D4">
        <w:rPr>
          <w:sz w:val="24"/>
          <w:u w:val="single"/>
        </w:rPr>
        <w:t>2009</w:t>
      </w:r>
      <w:proofErr w:type="gramEnd"/>
      <w:r w:rsidRPr="000710D4">
        <w:rPr>
          <w:sz w:val="24"/>
          <w:u w:val="single"/>
        </w:rPr>
        <w:t xml:space="preserve"> Fairpoint SPID Migration – All</w:t>
      </w:r>
      <w:r>
        <w:rPr>
          <w:sz w:val="24"/>
          <w:u w:val="single"/>
        </w:rPr>
        <w:t>:</w:t>
      </w:r>
    </w:p>
    <w:p w14:paraId="1C9CACF6" w14:textId="77777777" w:rsidR="000710D4" w:rsidRDefault="000710D4" w:rsidP="000710D4">
      <w:pPr>
        <w:ind w:left="720"/>
        <w:rPr>
          <w:sz w:val="24"/>
        </w:rPr>
      </w:pPr>
    </w:p>
    <w:p w14:paraId="41A422CC" w14:textId="77777777" w:rsidR="000710D4" w:rsidRDefault="000710D4" w:rsidP="000710D4">
      <w:pPr>
        <w:numPr>
          <w:ilvl w:val="0"/>
          <w:numId w:val="7"/>
        </w:numPr>
        <w:rPr>
          <w:sz w:val="24"/>
        </w:rPr>
      </w:pPr>
      <w:proofErr w:type="spellStart"/>
      <w:r>
        <w:rPr>
          <w:sz w:val="24"/>
        </w:rPr>
        <w:t>NeuStar</w:t>
      </w:r>
      <w:proofErr w:type="spellEnd"/>
      <w:r>
        <w:rPr>
          <w:sz w:val="24"/>
        </w:rPr>
        <w:t xml:space="preserve"> reported that there were no Help Desk issues as a result of the January 25</w:t>
      </w:r>
      <w:r w:rsidRPr="000710D4">
        <w:rPr>
          <w:sz w:val="24"/>
          <w:vertAlign w:val="superscript"/>
        </w:rPr>
        <w:t>th</w:t>
      </w:r>
      <w:r>
        <w:rPr>
          <w:sz w:val="24"/>
        </w:rPr>
        <w:t xml:space="preserve"> SPID </w:t>
      </w:r>
      <w:proofErr w:type="gramStart"/>
      <w:r>
        <w:rPr>
          <w:sz w:val="24"/>
        </w:rPr>
        <w:t>Migration..</w:t>
      </w:r>
      <w:proofErr w:type="gramEnd"/>
    </w:p>
    <w:p w14:paraId="50D7C63F" w14:textId="77777777" w:rsidR="000710D4" w:rsidRDefault="000710D4" w:rsidP="000710D4">
      <w:pPr>
        <w:rPr>
          <w:sz w:val="24"/>
        </w:rPr>
      </w:pPr>
    </w:p>
    <w:p w14:paraId="00DD4C70" w14:textId="77777777" w:rsidR="000710D4" w:rsidRDefault="000710D4" w:rsidP="000710D4">
      <w:pPr>
        <w:numPr>
          <w:ilvl w:val="0"/>
          <w:numId w:val="7"/>
        </w:numPr>
        <w:rPr>
          <w:sz w:val="24"/>
        </w:rPr>
      </w:pPr>
      <w:r>
        <w:rPr>
          <w:sz w:val="24"/>
        </w:rPr>
        <w:t>Verizon Telecom, Verizon Wireless, and Sprint Nextel provided feedback that they did not experience any issues processing the SMURF files.  Verizon Telecom reported that it took less than 45 minutes to process the files.</w:t>
      </w:r>
    </w:p>
    <w:p w14:paraId="44CA073B" w14:textId="77777777" w:rsidR="000710D4" w:rsidRDefault="000710D4" w:rsidP="000710D4">
      <w:pPr>
        <w:rPr>
          <w:sz w:val="24"/>
        </w:rPr>
      </w:pPr>
    </w:p>
    <w:p w14:paraId="15843229" w14:textId="77777777" w:rsidR="000710D4" w:rsidRDefault="000710D4" w:rsidP="000710D4">
      <w:pPr>
        <w:numPr>
          <w:ilvl w:val="0"/>
          <w:numId w:val="7"/>
        </w:numPr>
        <w:rPr>
          <w:sz w:val="24"/>
        </w:rPr>
      </w:pPr>
      <w:r>
        <w:rPr>
          <w:sz w:val="24"/>
        </w:rPr>
        <w:t>Comcast reported that they were having some issues with Fairpoint getting their LSRs processed.</w:t>
      </w:r>
    </w:p>
    <w:p w14:paraId="0B851807" w14:textId="77777777" w:rsidR="000710D4" w:rsidRDefault="000710D4" w:rsidP="000710D4">
      <w:pPr>
        <w:ind w:left="1080"/>
        <w:rPr>
          <w:sz w:val="24"/>
        </w:rPr>
      </w:pPr>
    </w:p>
    <w:p w14:paraId="0BF782D0" w14:textId="77777777" w:rsidR="000710D4" w:rsidRDefault="000710D4" w:rsidP="000710D4">
      <w:pPr>
        <w:numPr>
          <w:ilvl w:val="0"/>
          <w:numId w:val="7"/>
        </w:numPr>
        <w:rPr>
          <w:sz w:val="24"/>
        </w:rPr>
      </w:pPr>
      <w:r>
        <w:rPr>
          <w:sz w:val="24"/>
        </w:rPr>
        <w:t>Based on a discussion with Fairpoint</w:t>
      </w:r>
      <w:r w:rsidR="00122B7E">
        <w:rPr>
          <w:sz w:val="24"/>
        </w:rPr>
        <w:t xml:space="preserve"> prior to the February 10, </w:t>
      </w:r>
      <w:proofErr w:type="gramStart"/>
      <w:r w:rsidR="00122B7E">
        <w:rPr>
          <w:sz w:val="24"/>
        </w:rPr>
        <w:t>2009</w:t>
      </w:r>
      <w:proofErr w:type="gramEnd"/>
      <w:r w:rsidR="00122B7E">
        <w:rPr>
          <w:sz w:val="24"/>
        </w:rPr>
        <w:t xml:space="preserve"> LNPA WG conference call, Gary Sacra, LNPA WG Co-Chair,</w:t>
      </w:r>
      <w:r>
        <w:rPr>
          <w:sz w:val="24"/>
        </w:rPr>
        <w:t xml:space="preserve"> reported</w:t>
      </w:r>
      <w:r w:rsidR="00122B7E">
        <w:rPr>
          <w:sz w:val="24"/>
        </w:rPr>
        <w:t xml:space="preserve"> the following in response to Action Item 1108-06:</w:t>
      </w:r>
    </w:p>
    <w:p w14:paraId="316216DE" w14:textId="77777777" w:rsidR="00A80B27" w:rsidRDefault="00A80B27" w:rsidP="00976F8C">
      <w:pPr>
        <w:rPr>
          <w:sz w:val="24"/>
        </w:rPr>
      </w:pPr>
    </w:p>
    <w:p w14:paraId="1B140A0F" w14:textId="77777777" w:rsidR="00122B7E" w:rsidRPr="00854FB5" w:rsidRDefault="00122B7E" w:rsidP="00122B7E">
      <w:pPr>
        <w:ind w:left="360"/>
        <w:rPr>
          <w:sz w:val="24"/>
        </w:rPr>
      </w:pPr>
      <w:r w:rsidRPr="00122B7E">
        <w:rPr>
          <w:sz w:val="24"/>
          <w:highlight w:val="yellow"/>
        </w:rPr>
        <w:t xml:space="preserve">Action Item 1108-06:  </w:t>
      </w:r>
      <w:r w:rsidRPr="00122B7E">
        <w:rPr>
          <w:color w:val="FF0000"/>
          <w:sz w:val="24"/>
          <w:highlight w:val="yellow"/>
        </w:rPr>
        <w:t>Len Sampson</w:t>
      </w:r>
      <w:r w:rsidRPr="00122B7E">
        <w:rPr>
          <w:sz w:val="24"/>
          <w:highlight w:val="yellow"/>
        </w:rPr>
        <w:t>, Fairpoint, will determine and report to the LNPA WG Co-Chairs if there is any blackout of processing requests to port out from Fairpoint related to the period before and after the 1/25/09 SPID migration.</w:t>
      </w:r>
      <w:r>
        <w:rPr>
          <w:sz w:val="24"/>
        </w:rPr>
        <w:t xml:space="preserve"> </w:t>
      </w:r>
    </w:p>
    <w:p w14:paraId="6AD298E5" w14:textId="77777777" w:rsidR="003654EA" w:rsidRDefault="003654EA" w:rsidP="00AE26DD">
      <w:pPr>
        <w:rPr>
          <w:sz w:val="24"/>
        </w:rPr>
      </w:pPr>
    </w:p>
    <w:p w14:paraId="2C4072EB" w14:textId="77777777" w:rsidR="00122B7E" w:rsidRDefault="00122B7E" w:rsidP="00122B7E">
      <w:pPr>
        <w:numPr>
          <w:ilvl w:val="0"/>
          <w:numId w:val="9"/>
        </w:numPr>
        <w:rPr>
          <w:sz w:val="24"/>
        </w:rPr>
      </w:pPr>
      <w:r>
        <w:rPr>
          <w:sz w:val="24"/>
        </w:rPr>
        <w:t>Fairpoint reported that they were processing some LSRs received for port outs during the week of January 25</w:t>
      </w:r>
      <w:r w:rsidRPr="00122B7E">
        <w:rPr>
          <w:sz w:val="24"/>
          <w:vertAlign w:val="superscript"/>
        </w:rPr>
        <w:t>th</w:t>
      </w:r>
      <w:r>
        <w:rPr>
          <w:sz w:val="24"/>
        </w:rPr>
        <w:t>.  There was a blackout on processing LSRs during the week of February 1</w:t>
      </w:r>
      <w:r w:rsidRPr="00122B7E">
        <w:rPr>
          <w:sz w:val="24"/>
          <w:vertAlign w:val="superscript"/>
        </w:rPr>
        <w:t>st</w:t>
      </w:r>
      <w:r>
        <w:rPr>
          <w:sz w:val="24"/>
        </w:rPr>
        <w:t xml:space="preserve"> </w:t>
      </w:r>
      <w:proofErr w:type="gramStart"/>
      <w:r>
        <w:rPr>
          <w:sz w:val="24"/>
        </w:rPr>
        <w:t>in order for</w:t>
      </w:r>
      <w:proofErr w:type="gramEnd"/>
      <w:r>
        <w:rPr>
          <w:sz w:val="24"/>
        </w:rPr>
        <w:t xml:space="preserve"> Fairpoint to bring their systems online.  The blackout was lifted on Monday, February 9</w:t>
      </w:r>
      <w:r w:rsidRPr="00122B7E">
        <w:rPr>
          <w:sz w:val="24"/>
          <w:vertAlign w:val="superscript"/>
        </w:rPr>
        <w:t>th</w:t>
      </w:r>
      <w:r>
        <w:rPr>
          <w:sz w:val="24"/>
        </w:rPr>
        <w:t>.</w:t>
      </w:r>
    </w:p>
    <w:p w14:paraId="3F85603C" w14:textId="77777777" w:rsidR="00122B7E" w:rsidRDefault="00122B7E" w:rsidP="00122B7E">
      <w:pPr>
        <w:rPr>
          <w:sz w:val="24"/>
        </w:rPr>
      </w:pPr>
    </w:p>
    <w:p w14:paraId="7AC9C6D8" w14:textId="77777777" w:rsidR="00122B7E" w:rsidRDefault="00122B7E" w:rsidP="00122B7E">
      <w:pPr>
        <w:numPr>
          <w:ilvl w:val="0"/>
          <w:numId w:val="9"/>
        </w:numPr>
        <w:rPr>
          <w:sz w:val="24"/>
        </w:rPr>
      </w:pPr>
      <w:r>
        <w:rPr>
          <w:sz w:val="24"/>
        </w:rPr>
        <w:t>Action Item 1108-06 is closed.</w:t>
      </w:r>
    </w:p>
    <w:p w14:paraId="29DE3FA3" w14:textId="77777777" w:rsidR="00F510CE" w:rsidRDefault="00F510CE" w:rsidP="00F510CE">
      <w:pPr>
        <w:rPr>
          <w:sz w:val="24"/>
        </w:rPr>
      </w:pPr>
    </w:p>
    <w:p w14:paraId="4E3C0ABC" w14:textId="77777777" w:rsidR="00F510CE" w:rsidRPr="00F510CE" w:rsidRDefault="00F510CE" w:rsidP="00F510CE">
      <w:pPr>
        <w:rPr>
          <w:sz w:val="24"/>
          <w:u w:val="single"/>
        </w:rPr>
      </w:pPr>
      <w:r w:rsidRPr="00F510CE">
        <w:rPr>
          <w:sz w:val="24"/>
          <w:u w:val="single"/>
        </w:rPr>
        <w:t>Discussion of SPID Migration Limitations (Action Item 1108-10) – All</w:t>
      </w:r>
      <w:r>
        <w:rPr>
          <w:sz w:val="24"/>
          <w:u w:val="single"/>
        </w:rPr>
        <w:t>:</w:t>
      </w:r>
    </w:p>
    <w:p w14:paraId="7074A2D0" w14:textId="77777777" w:rsidR="00F510CE" w:rsidRDefault="00F510CE" w:rsidP="00F510CE">
      <w:pPr>
        <w:ind w:left="1440"/>
        <w:rPr>
          <w:sz w:val="24"/>
        </w:rPr>
      </w:pPr>
    </w:p>
    <w:p w14:paraId="45970192" w14:textId="77777777" w:rsidR="00F510CE" w:rsidRPr="00CC0743" w:rsidRDefault="00F510CE" w:rsidP="00F510CE">
      <w:pPr>
        <w:rPr>
          <w:color w:val="FF0000"/>
          <w:sz w:val="24"/>
          <w:szCs w:val="24"/>
        </w:rPr>
      </w:pPr>
      <w:r w:rsidRPr="00CC0743">
        <w:rPr>
          <w:sz w:val="24"/>
          <w:szCs w:val="24"/>
          <w:highlight w:val="yellow"/>
        </w:rPr>
        <w:t xml:space="preserve">Action Item 1108-10:  For discussion at the January 2009 LNPA WG meeting, </w:t>
      </w:r>
      <w:r w:rsidRPr="00CC0743">
        <w:rPr>
          <w:color w:val="FF0000"/>
          <w:sz w:val="24"/>
          <w:szCs w:val="24"/>
          <w:highlight w:val="yellow"/>
        </w:rPr>
        <w:t xml:space="preserve">LNPA WG Participants </w:t>
      </w:r>
      <w:r w:rsidRPr="00CC0743">
        <w:rPr>
          <w:sz w:val="24"/>
          <w:szCs w:val="24"/>
          <w:highlight w:val="yellow"/>
        </w:rPr>
        <w:t>will come prepared to determine what if any changes will be made to the migration limits in the attached M&amp;P.</w:t>
      </w:r>
    </w:p>
    <w:p w14:paraId="4D240931" w14:textId="77777777" w:rsidR="00F510CE" w:rsidRDefault="00F510CE" w:rsidP="00F510CE">
      <w:pPr>
        <w:rPr>
          <w:sz w:val="24"/>
        </w:rPr>
      </w:pPr>
      <w:r>
        <w:rPr>
          <w:sz w:val="24"/>
          <w:szCs w:val="24"/>
        </w:rPr>
        <w:tab/>
      </w:r>
      <w:r>
        <w:rPr>
          <w:sz w:val="24"/>
          <w:szCs w:val="24"/>
        </w:rPr>
        <w:tab/>
      </w:r>
      <w:r w:rsidRPr="00BC70CF">
        <w:rPr>
          <w:sz w:val="24"/>
        </w:rPr>
        <w:object w:dxaOrig="1536" w:dyaOrig="994" w14:anchorId="5AF9571A">
          <v:shape id="_x0000_i1033" type="#_x0000_t75" style="width:77pt;height:49.5pt" o:ole="">
            <v:imagedata r:id="rId23" o:title=""/>
          </v:shape>
          <o:OLEObject Type="Embed" ProgID="AcroExch.Document.DC" ShapeID="_x0000_i1033" DrawAspect="Icon" ObjectID="_1745751713" r:id="rId24"/>
        </w:object>
      </w:r>
    </w:p>
    <w:p w14:paraId="7A817DC1" w14:textId="77777777" w:rsidR="00F510CE" w:rsidRDefault="00F510CE" w:rsidP="00F510CE">
      <w:pPr>
        <w:rPr>
          <w:sz w:val="24"/>
        </w:rPr>
      </w:pPr>
    </w:p>
    <w:p w14:paraId="54C256F7" w14:textId="77777777" w:rsidR="00F510CE" w:rsidRPr="00A979A8" w:rsidRDefault="00F510CE" w:rsidP="00F510CE">
      <w:pPr>
        <w:ind w:left="1080"/>
        <w:rPr>
          <w:color w:val="FF0000"/>
          <w:sz w:val="24"/>
          <w:szCs w:val="24"/>
        </w:rPr>
      </w:pPr>
      <w:r w:rsidRPr="00A979A8">
        <w:rPr>
          <w:color w:val="FF0000"/>
          <w:sz w:val="24"/>
        </w:rPr>
        <w:t xml:space="preserve">NOTE:  </w:t>
      </w:r>
      <w:r>
        <w:rPr>
          <w:color w:val="FF0000"/>
          <w:sz w:val="24"/>
        </w:rPr>
        <w:t>While not directly addressed in the attached M&amp;P, t</w:t>
      </w:r>
      <w:r w:rsidRPr="00A979A8">
        <w:rPr>
          <w:color w:val="FF0000"/>
          <w:sz w:val="24"/>
        </w:rPr>
        <w:t xml:space="preserve">he current limitations are no more than 7 SPID migrations in a region, and no more than 25 over all </w:t>
      </w:r>
      <w:smartTag w:uri="urn:schemas-microsoft-com:office:smarttags" w:element="country-region">
        <w:smartTag w:uri="urn:schemas-microsoft-com:office:smarttags" w:element="place">
          <w:r w:rsidRPr="00A979A8">
            <w:rPr>
              <w:color w:val="FF0000"/>
              <w:sz w:val="24"/>
            </w:rPr>
            <w:t>U.S.</w:t>
          </w:r>
        </w:smartTag>
      </w:smartTag>
      <w:r w:rsidRPr="00A979A8">
        <w:rPr>
          <w:color w:val="FF0000"/>
          <w:sz w:val="24"/>
        </w:rPr>
        <w:t xml:space="preserve"> regions.  In addition, t</w:t>
      </w:r>
      <w:r w:rsidRPr="00A979A8">
        <w:rPr>
          <w:rFonts w:cs="Arial"/>
          <w:bCs/>
          <w:color w:val="FF0000"/>
          <w:sz w:val="24"/>
          <w:szCs w:val="24"/>
        </w:rPr>
        <w:t>he quantity of LRNs involved will not exceed 100 nationally (any mix; any region) in a migration window.</w:t>
      </w:r>
      <w:r>
        <w:rPr>
          <w:rFonts w:cs="Arial"/>
          <w:bCs/>
          <w:color w:val="FF0000"/>
          <w:sz w:val="24"/>
          <w:szCs w:val="24"/>
        </w:rPr>
        <w:t xml:space="preserve">  These limitations are spelled out on the NPAC Secure website under SPID Migrations.</w:t>
      </w:r>
    </w:p>
    <w:p w14:paraId="3E8F1354" w14:textId="77777777" w:rsidR="00F510CE" w:rsidRDefault="00F510CE" w:rsidP="00F510CE">
      <w:pPr>
        <w:rPr>
          <w:sz w:val="24"/>
        </w:rPr>
      </w:pPr>
    </w:p>
    <w:p w14:paraId="11E54FF1" w14:textId="77777777" w:rsidR="00F510CE" w:rsidRDefault="00F510CE" w:rsidP="00F510CE">
      <w:pPr>
        <w:numPr>
          <w:ilvl w:val="0"/>
          <w:numId w:val="10"/>
        </w:numPr>
        <w:rPr>
          <w:sz w:val="24"/>
        </w:rPr>
      </w:pPr>
      <w:r>
        <w:rPr>
          <w:sz w:val="24"/>
        </w:rPr>
        <w:t xml:space="preserve">Based on no issues reported with the January 25, </w:t>
      </w:r>
      <w:proofErr w:type="gramStart"/>
      <w:r>
        <w:rPr>
          <w:sz w:val="24"/>
        </w:rPr>
        <w:t>2009</w:t>
      </w:r>
      <w:proofErr w:type="gramEnd"/>
      <w:r>
        <w:rPr>
          <w:sz w:val="24"/>
        </w:rPr>
        <w:t xml:space="preserve"> SPID Migration which had 364 LRNs, a service provider proposed raising the LRN limit from 100 to 500.  No concerns were expressed on the LRN proposal, but some concerns were raised over the lack of a TN limit.</w:t>
      </w:r>
      <w:r w:rsidR="007A61F9">
        <w:rPr>
          <w:sz w:val="24"/>
        </w:rPr>
        <w:t xml:space="preserve">  Some suggested </w:t>
      </w:r>
      <w:r>
        <w:rPr>
          <w:sz w:val="24"/>
        </w:rPr>
        <w:t>100K per region</w:t>
      </w:r>
      <w:r w:rsidR="007A61F9">
        <w:rPr>
          <w:sz w:val="24"/>
        </w:rPr>
        <w:t xml:space="preserve"> as a limit.  It was stated that </w:t>
      </w:r>
      <w:r w:rsidR="00037946">
        <w:rPr>
          <w:sz w:val="24"/>
        </w:rPr>
        <w:t>on 9/21/2008, there were</w:t>
      </w:r>
      <w:r>
        <w:rPr>
          <w:sz w:val="24"/>
        </w:rPr>
        <w:t xml:space="preserve"> about 600K </w:t>
      </w:r>
      <w:r w:rsidR="007A61F9">
        <w:rPr>
          <w:sz w:val="24"/>
        </w:rPr>
        <w:t xml:space="preserve">TNs </w:t>
      </w:r>
      <w:r w:rsidR="00037946">
        <w:rPr>
          <w:sz w:val="24"/>
        </w:rPr>
        <w:t xml:space="preserve">involved in a SPID migration </w:t>
      </w:r>
      <w:r>
        <w:rPr>
          <w:sz w:val="24"/>
        </w:rPr>
        <w:t xml:space="preserve">in </w:t>
      </w:r>
      <w:r w:rsidR="007A61F9">
        <w:rPr>
          <w:sz w:val="24"/>
        </w:rPr>
        <w:t xml:space="preserve">the </w:t>
      </w:r>
      <w:r>
        <w:rPr>
          <w:sz w:val="24"/>
        </w:rPr>
        <w:t xml:space="preserve">SE region.  </w:t>
      </w:r>
      <w:r w:rsidR="007A61F9">
        <w:rPr>
          <w:sz w:val="24"/>
        </w:rPr>
        <w:t>Also, on 6/</w:t>
      </w:r>
      <w:r>
        <w:rPr>
          <w:sz w:val="24"/>
        </w:rPr>
        <w:t>8</w:t>
      </w:r>
      <w:r w:rsidR="007A61F9">
        <w:rPr>
          <w:sz w:val="24"/>
        </w:rPr>
        <w:t>/2008,</w:t>
      </w:r>
      <w:r>
        <w:rPr>
          <w:sz w:val="24"/>
        </w:rPr>
        <w:t xml:space="preserve"> there were 534K TNs </w:t>
      </w:r>
      <w:r w:rsidR="00037946">
        <w:rPr>
          <w:sz w:val="24"/>
        </w:rPr>
        <w:t xml:space="preserve">involved in a SPID migration </w:t>
      </w:r>
      <w:r>
        <w:rPr>
          <w:sz w:val="24"/>
        </w:rPr>
        <w:t xml:space="preserve">in </w:t>
      </w:r>
      <w:r w:rsidR="007A61F9">
        <w:rPr>
          <w:sz w:val="24"/>
        </w:rPr>
        <w:t xml:space="preserve">the </w:t>
      </w:r>
      <w:r>
        <w:rPr>
          <w:sz w:val="24"/>
        </w:rPr>
        <w:t>SE region.</w:t>
      </w:r>
    </w:p>
    <w:p w14:paraId="25387C89" w14:textId="77777777" w:rsidR="007A61F9" w:rsidRDefault="007A61F9" w:rsidP="007A61F9">
      <w:pPr>
        <w:rPr>
          <w:sz w:val="24"/>
        </w:rPr>
      </w:pPr>
    </w:p>
    <w:p w14:paraId="030E5F27" w14:textId="77777777" w:rsidR="007A61F9" w:rsidRDefault="007A61F9" w:rsidP="007A61F9">
      <w:pPr>
        <w:numPr>
          <w:ilvl w:val="0"/>
          <w:numId w:val="10"/>
        </w:numPr>
        <w:rPr>
          <w:sz w:val="24"/>
          <w:szCs w:val="24"/>
        </w:rPr>
      </w:pPr>
      <w:r>
        <w:rPr>
          <w:color w:val="FF0000"/>
          <w:sz w:val="24"/>
          <w:szCs w:val="24"/>
        </w:rPr>
        <w:t>LNPA WG Participants</w:t>
      </w:r>
      <w:r>
        <w:rPr>
          <w:sz w:val="24"/>
          <w:szCs w:val="24"/>
        </w:rPr>
        <w:t xml:space="preserve"> are to come to the March 2009 LNPA WG meeting prepared to discuss </w:t>
      </w:r>
      <w:proofErr w:type="gramStart"/>
      <w:r>
        <w:rPr>
          <w:sz w:val="24"/>
          <w:szCs w:val="24"/>
        </w:rPr>
        <w:t>whether or not</w:t>
      </w:r>
      <w:proofErr w:type="gramEnd"/>
      <w:r>
        <w:rPr>
          <w:sz w:val="24"/>
          <w:szCs w:val="24"/>
        </w:rPr>
        <w:t xml:space="preserve"> they can support the following proposed SPID migration limitations:</w:t>
      </w:r>
    </w:p>
    <w:p w14:paraId="5965044D" w14:textId="77777777" w:rsidR="007A61F9" w:rsidRDefault="007A61F9" w:rsidP="007A61F9">
      <w:pPr>
        <w:numPr>
          <w:ilvl w:val="0"/>
          <w:numId w:val="11"/>
        </w:numPr>
        <w:rPr>
          <w:sz w:val="24"/>
          <w:szCs w:val="24"/>
        </w:rPr>
      </w:pPr>
      <w:r>
        <w:rPr>
          <w:sz w:val="24"/>
          <w:szCs w:val="24"/>
        </w:rPr>
        <w:t xml:space="preserve">No more than 7 SPID migrations in a region, and no more than 25 over all </w:t>
      </w:r>
      <w:smartTag w:uri="urn:schemas-microsoft-com:office:smarttags" w:element="country-region">
        <w:smartTag w:uri="urn:schemas-microsoft-com:office:smarttags" w:element="place">
          <w:r>
            <w:rPr>
              <w:sz w:val="24"/>
              <w:szCs w:val="24"/>
            </w:rPr>
            <w:t>U.S.</w:t>
          </w:r>
        </w:smartTag>
      </w:smartTag>
      <w:r>
        <w:rPr>
          <w:sz w:val="24"/>
          <w:szCs w:val="24"/>
        </w:rPr>
        <w:t xml:space="preserve"> regions.  (NOTE:  This is the existing requirement.)</w:t>
      </w:r>
    </w:p>
    <w:p w14:paraId="1362F377" w14:textId="77777777" w:rsidR="007A61F9" w:rsidRDefault="007A61F9" w:rsidP="007A61F9">
      <w:pPr>
        <w:numPr>
          <w:ilvl w:val="0"/>
          <w:numId w:val="11"/>
        </w:numPr>
        <w:rPr>
          <w:sz w:val="24"/>
          <w:szCs w:val="24"/>
        </w:rPr>
      </w:pPr>
      <w:r>
        <w:rPr>
          <w:sz w:val="24"/>
          <w:szCs w:val="24"/>
        </w:rPr>
        <w:lastRenderedPageBreak/>
        <w:t>The quantity of LRNs involved will not exceed 500 nationally (any mix; any region) in a migration window.  (NOTE:  The current limit is 100 LRNs.)</w:t>
      </w:r>
    </w:p>
    <w:p w14:paraId="5622DF84" w14:textId="77777777" w:rsidR="007A61F9" w:rsidRPr="00BA1C8E" w:rsidRDefault="007A61F9" w:rsidP="007A61F9">
      <w:pPr>
        <w:numPr>
          <w:ilvl w:val="0"/>
          <w:numId w:val="11"/>
        </w:numPr>
        <w:rPr>
          <w:sz w:val="24"/>
          <w:szCs w:val="24"/>
        </w:rPr>
      </w:pPr>
      <w:r>
        <w:rPr>
          <w:sz w:val="24"/>
          <w:szCs w:val="24"/>
        </w:rPr>
        <w:t>In addition, a limit on the number of impacted SVs will also be discussed and possibly quantified at the March 2009 LNPA WG meeting.</w:t>
      </w:r>
    </w:p>
    <w:p w14:paraId="12E5A924" w14:textId="77777777" w:rsidR="009A0FFD" w:rsidRDefault="009A0FFD" w:rsidP="009A0FFD">
      <w:pPr>
        <w:rPr>
          <w:sz w:val="24"/>
        </w:rPr>
      </w:pPr>
    </w:p>
    <w:p w14:paraId="0F9689EC" w14:textId="77777777" w:rsidR="009A0FFD" w:rsidRPr="009A0FFD" w:rsidRDefault="009A0FFD" w:rsidP="009A0FFD">
      <w:pPr>
        <w:rPr>
          <w:sz w:val="24"/>
          <w:szCs w:val="24"/>
          <w:u w:val="single"/>
        </w:rPr>
      </w:pPr>
      <w:r w:rsidRPr="009A0FFD">
        <w:rPr>
          <w:sz w:val="24"/>
          <w:szCs w:val="24"/>
          <w:u w:val="single"/>
        </w:rPr>
        <w:t>New Business</w:t>
      </w:r>
      <w:r>
        <w:rPr>
          <w:sz w:val="24"/>
          <w:szCs w:val="24"/>
          <w:u w:val="single"/>
        </w:rPr>
        <w:t xml:space="preserve"> – All:</w:t>
      </w:r>
    </w:p>
    <w:p w14:paraId="1D35CCEC" w14:textId="77777777" w:rsidR="009A0FFD" w:rsidRDefault="009A0FFD" w:rsidP="009A0FFD">
      <w:pPr>
        <w:autoSpaceDE w:val="0"/>
        <w:autoSpaceDN w:val="0"/>
        <w:adjustRightInd w:val="0"/>
        <w:spacing w:line="240" w:lineRule="atLeast"/>
        <w:rPr>
          <w:rFonts w:cs="Arial"/>
          <w:color w:val="000000"/>
          <w:sz w:val="24"/>
          <w:szCs w:val="24"/>
        </w:rPr>
      </w:pPr>
    </w:p>
    <w:p w14:paraId="34033754" w14:textId="77777777" w:rsidR="009A0FFD" w:rsidRDefault="009A0FFD" w:rsidP="009A0FFD">
      <w:pPr>
        <w:numPr>
          <w:ilvl w:val="0"/>
          <w:numId w:val="12"/>
        </w:numPr>
        <w:autoSpaceDE w:val="0"/>
        <w:autoSpaceDN w:val="0"/>
        <w:adjustRightInd w:val="0"/>
        <w:spacing w:line="240" w:lineRule="atLeast"/>
        <w:rPr>
          <w:rFonts w:cs="Arial"/>
          <w:color w:val="000000"/>
          <w:sz w:val="24"/>
          <w:szCs w:val="24"/>
        </w:rPr>
      </w:pPr>
      <w:r>
        <w:rPr>
          <w:rFonts w:cs="Arial"/>
          <w:color w:val="000000"/>
          <w:sz w:val="24"/>
          <w:szCs w:val="24"/>
        </w:rPr>
        <w:t xml:space="preserve">Mohamed Samater, T-Mobile, stated that PIM 70, which proposes that the Wireless Port Request (WPR) be used for wireless-to-wireline ports instead of the wireline Local Service Request (LSR), is being withdrawn </w:t>
      </w:r>
      <w:proofErr w:type="gramStart"/>
      <w:r>
        <w:rPr>
          <w:rFonts w:cs="Arial"/>
          <w:color w:val="000000"/>
          <w:sz w:val="24"/>
          <w:szCs w:val="24"/>
        </w:rPr>
        <w:t>in order to</w:t>
      </w:r>
      <w:proofErr w:type="gramEnd"/>
      <w:r>
        <w:rPr>
          <w:rFonts w:cs="Arial"/>
          <w:color w:val="000000"/>
          <w:sz w:val="24"/>
          <w:szCs w:val="24"/>
        </w:rPr>
        <w:t xml:space="preserve"> allow the industry to concentrate on higher priority issues, such as development of a standard porting form.</w:t>
      </w:r>
    </w:p>
    <w:p w14:paraId="7A6E50D4" w14:textId="77777777" w:rsidR="009A0FFD" w:rsidRDefault="009A0FFD" w:rsidP="009A0FFD">
      <w:pPr>
        <w:autoSpaceDE w:val="0"/>
        <w:autoSpaceDN w:val="0"/>
        <w:adjustRightInd w:val="0"/>
        <w:spacing w:line="240" w:lineRule="atLeast"/>
        <w:rPr>
          <w:rFonts w:cs="Arial"/>
          <w:color w:val="000000"/>
          <w:sz w:val="24"/>
          <w:szCs w:val="24"/>
        </w:rPr>
      </w:pPr>
    </w:p>
    <w:p w14:paraId="751FC182" w14:textId="77777777" w:rsidR="005325D3" w:rsidRPr="005325D3" w:rsidRDefault="009A0FFD" w:rsidP="005325D3">
      <w:pPr>
        <w:numPr>
          <w:ilvl w:val="0"/>
          <w:numId w:val="12"/>
        </w:numPr>
        <w:autoSpaceDE w:val="0"/>
        <w:autoSpaceDN w:val="0"/>
        <w:adjustRightInd w:val="0"/>
        <w:spacing w:line="240" w:lineRule="atLeast"/>
        <w:rPr>
          <w:b/>
          <w:i/>
          <w:sz w:val="24"/>
        </w:rPr>
      </w:pPr>
      <w:r>
        <w:rPr>
          <w:rFonts w:cs="Arial"/>
          <w:color w:val="000000"/>
          <w:sz w:val="24"/>
          <w:szCs w:val="24"/>
        </w:rPr>
        <w:t>Jan Doell, Qwest, reported that LNPA WG Best Practice 14, which addresses the portability of paging codes, contains a link to the INC’s</w:t>
      </w:r>
      <w:r w:rsidR="005325D3">
        <w:rPr>
          <w:rFonts w:cs="Arial"/>
          <w:color w:val="000000"/>
          <w:sz w:val="24"/>
          <w:szCs w:val="24"/>
        </w:rPr>
        <w:t xml:space="preserve"> COCAG Job Aid that does not</w:t>
      </w:r>
      <w:r>
        <w:rPr>
          <w:rFonts w:cs="Arial"/>
          <w:color w:val="000000"/>
          <w:sz w:val="24"/>
          <w:szCs w:val="24"/>
        </w:rPr>
        <w:t xml:space="preserve"> work.  </w:t>
      </w:r>
      <w:r w:rsidR="005325D3">
        <w:rPr>
          <w:color w:val="FF0000"/>
          <w:sz w:val="24"/>
          <w:szCs w:val="24"/>
        </w:rPr>
        <w:t>Jan Doell</w:t>
      </w:r>
      <w:r w:rsidR="005325D3">
        <w:rPr>
          <w:sz w:val="24"/>
          <w:szCs w:val="24"/>
        </w:rPr>
        <w:t>, Qwest, will rewrite LNPA WG Best Practice 14 to address</w:t>
      </w:r>
      <w:r w:rsidR="005325D3">
        <w:rPr>
          <w:b/>
          <w:i/>
          <w:sz w:val="24"/>
        </w:rPr>
        <w:t xml:space="preserve"> </w:t>
      </w:r>
      <w:r w:rsidR="005325D3">
        <w:rPr>
          <w:sz w:val="24"/>
          <w:szCs w:val="24"/>
        </w:rPr>
        <w:t>permissible porting of paging numbers, i.e., requested by the paging company and not the end user.</w:t>
      </w:r>
    </w:p>
    <w:p w14:paraId="5E4F9907" w14:textId="77777777" w:rsidR="00F510CE" w:rsidRDefault="00F510CE" w:rsidP="00AE26DD">
      <w:pPr>
        <w:rPr>
          <w:sz w:val="24"/>
        </w:rPr>
      </w:pPr>
    </w:p>
    <w:p w14:paraId="2EAE84AD" w14:textId="77777777" w:rsidR="005325D3" w:rsidRPr="002648D6" w:rsidRDefault="005325D3" w:rsidP="005325D3">
      <w:pPr>
        <w:ind w:left="360"/>
        <w:rPr>
          <w:sz w:val="24"/>
        </w:rPr>
      </w:pPr>
      <w:r>
        <w:rPr>
          <w:color w:val="FF0000"/>
          <w:sz w:val="24"/>
        </w:rPr>
        <w:t>Mohamed Samater</w:t>
      </w:r>
      <w:r>
        <w:rPr>
          <w:sz w:val="24"/>
        </w:rPr>
        <w:t>, T-Mobile, will correct the numbering of Best Practices at the beginning of the document on the LNPA WG Best Practice website.</w:t>
      </w:r>
    </w:p>
    <w:p w14:paraId="7824A03C" w14:textId="77777777" w:rsidR="00F510CE" w:rsidRDefault="00F510CE" w:rsidP="00AE26DD">
      <w:pPr>
        <w:rPr>
          <w:sz w:val="24"/>
        </w:rPr>
      </w:pPr>
    </w:p>
    <w:p w14:paraId="30241143" w14:textId="77777777" w:rsidR="00F510CE" w:rsidRPr="00E223A7" w:rsidRDefault="00F510CE" w:rsidP="00AE26DD">
      <w:pPr>
        <w:rPr>
          <w:sz w:val="24"/>
        </w:rPr>
      </w:pPr>
    </w:p>
    <w:p w14:paraId="72B70DBB" w14:textId="77777777" w:rsidR="009A0FFD" w:rsidRDefault="00EA11A9" w:rsidP="009A0FFD">
      <w:pPr>
        <w:rPr>
          <w:b/>
          <w:i/>
          <w:sz w:val="24"/>
        </w:rPr>
      </w:pPr>
      <w:r>
        <w:rPr>
          <w:b/>
          <w:i/>
          <w:sz w:val="24"/>
        </w:rPr>
        <w:t xml:space="preserve">Next </w:t>
      </w:r>
      <w:r w:rsidR="008163AC">
        <w:rPr>
          <w:b/>
          <w:i/>
          <w:sz w:val="24"/>
        </w:rPr>
        <w:t xml:space="preserve">LNPA </w:t>
      </w:r>
      <w:r w:rsidR="00E36AD0">
        <w:rPr>
          <w:b/>
          <w:i/>
          <w:sz w:val="24"/>
        </w:rPr>
        <w:t xml:space="preserve">WG </w:t>
      </w:r>
      <w:r>
        <w:rPr>
          <w:b/>
          <w:i/>
          <w:sz w:val="24"/>
        </w:rPr>
        <w:t>Meeting …</w:t>
      </w:r>
      <w:r>
        <w:rPr>
          <w:i/>
          <w:sz w:val="24"/>
        </w:rPr>
        <w:t xml:space="preserve"> </w:t>
      </w:r>
      <w:r w:rsidR="009A0FFD">
        <w:rPr>
          <w:b/>
          <w:i/>
          <w:sz w:val="24"/>
        </w:rPr>
        <w:t xml:space="preserve">March 10-11, 2009, </w:t>
      </w:r>
      <w:smartTag w:uri="urn:schemas-microsoft-com:office:smarttags" w:element="place">
        <w:smartTag w:uri="urn:schemas-microsoft-com:office:smarttags" w:element="City">
          <w:r w:rsidR="009A0FFD">
            <w:rPr>
              <w:b/>
              <w:i/>
              <w:sz w:val="24"/>
            </w:rPr>
            <w:t>Denver</w:t>
          </w:r>
        </w:smartTag>
        <w:r w:rsidR="003654EA">
          <w:rPr>
            <w:b/>
            <w:i/>
            <w:sz w:val="24"/>
          </w:rPr>
          <w:t xml:space="preserve">, </w:t>
        </w:r>
        <w:smartTag w:uri="urn:schemas-microsoft-com:office:smarttags" w:element="State">
          <w:r w:rsidR="003654EA">
            <w:rPr>
              <w:b/>
              <w:i/>
              <w:sz w:val="24"/>
            </w:rPr>
            <w:t>C</w:t>
          </w:r>
          <w:r w:rsidR="009A0FFD">
            <w:rPr>
              <w:b/>
              <w:i/>
              <w:sz w:val="24"/>
            </w:rPr>
            <w:t>olorado</w:t>
          </w:r>
        </w:smartTag>
      </w:smartTag>
      <w:r w:rsidR="00494F86">
        <w:rPr>
          <w:b/>
          <w:i/>
          <w:sz w:val="24"/>
        </w:rPr>
        <w:t xml:space="preserve"> – Hosted by</w:t>
      </w:r>
    </w:p>
    <w:p w14:paraId="7396A954" w14:textId="77777777" w:rsidR="005549CC" w:rsidRPr="008C7EDC" w:rsidRDefault="009A0FFD" w:rsidP="009A0FFD">
      <w:pPr>
        <w:rPr>
          <w:b/>
          <w:i/>
          <w:sz w:val="24"/>
        </w:rPr>
      </w:pPr>
      <w:r>
        <w:rPr>
          <w:b/>
          <w:i/>
          <w:sz w:val="24"/>
        </w:rPr>
        <w:t xml:space="preserve"> </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Comcast</w:t>
      </w:r>
    </w:p>
    <w:sectPr w:rsidR="005549CC" w:rsidRPr="008C7EDC">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48BB" w14:textId="77777777" w:rsidR="00327A7F" w:rsidRDefault="00327A7F">
      <w:r>
        <w:separator/>
      </w:r>
    </w:p>
  </w:endnote>
  <w:endnote w:type="continuationSeparator" w:id="0">
    <w:p w14:paraId="02FF31EF" w14:textId="77777777" w:rsidR="00327A7F" w:rsidRDefault="0032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6F7F"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C6621"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F50"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946">
      <w:rPr>
        <w:rStyle w:val="PageNumber"/>
        <w:noProof/>
      </w:rPr>
      <w:t>7</w:t>
    </w:r>
    <w:r>
      <w:rPr>
        <w:rStyle w:val="PageNumber"/>
      </w:rPr>
      <w:fldChar w:fldCharType="end"/>
    </w:r>
  </w:p>
  <w:p w14:paraId="211F8364"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F904" w14:textId="77777777" w:rsidR="00327A7F" w:rsidRDefault="00327A7F">
      <w:r>
        <w:separator/>
      </w:r>
    </w:p>
  </w:footnote>
  <w:footnote w:type="continuationSeparator" w:id="0">
    <w:p w14:paraId="4B8F0439" w14:textId="77777777" w:rsidR="00327A7F" w:rsidRDefault="0032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14"/>
    <w:multiLevelType w:val="hybridMultilevel"/>
    <w:tmpl w:val="3C5613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5DDF"/>
    <w:multiLevelType w:val="hybridMultilevel"/>
    <w:tmpl w:val="829E53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8620F"/>
    <w:multiLevelType w:val="hybridMultilevel"/>
    <w:tmpl w:val="2F3EC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72129"/>
    <w:multiLevelType w:val="hybridMultilevel"/>
    <w:tmpl w:val="E7FE9D5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432A0"/>
    <w:multiLevelType w:val="hybridMultilevel"/>
    <w:tmpl w:val="0F5A4B6C"/>
    <w:lvl w:ilvl="0" w:tplc="D33A074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3C64DE"/>
    <w:multiLevelType w:val="hybridMultilevel"/>
    <w:tmpl w:val="69CA002A"/>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A222DE"/>
    <w:multiLevelType w:val="hybridMultilevel"/>
    <w:tmpl w:val="9F9A77D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781E93"/>
    <w:multiLevelType w:val="hybridMultilevel"/>
    <w:tmpl w:val="0B868A3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7B19"/>
    <w:multiLevelType w:val="hybridMultilevel"/>
    <w:tmpl w:val="6478EB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AEC6975"/>
    <w:multiLevelType w:val="hybridMultilevel"/>
    <w:tmpl w:val="FF6CA19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9414F"/>
    <w:multiLevelType w:val="hybridMultilevel"/>
    <w:tmpl w:val="A94401D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3894286">
    <w:abstractNumId w:val="3"/>
  </w:num>
  <w:num w:numId="2" w16cid:durableId="1968505990">
    <w:abstractNumId w:val="6"/>
  </w:num>
  <w:num w:numId="3" w16cid:durableId="875703737">
    <w:abstractNumId w:val="7"/>
  </w:num>
  <w:num w:numId="4" w16cid:durableId="991062750">
    <w:abstractNumId w:val="8"/>
  </w:num>
  <w:num w:numId="5" w16cid:durableId="239019630">
    <w:abstractNumId w:val="0"/>
  </w:num>
  <w:num w:numId="6" w16cid:durableId="2119640885">
    <w:abstractNumId w:val="9"/>
  </w:num>
  <w:num w:numId="7" w16cid:durableId="1674264401">
    <w:abstractNumId w:val="1"/>
  </w:num>
  <w:num w:numId="8" w16cid:durableId="918372829">
    <w:abstractNumId w:val="4"/>
  </w:num>
  <w:num w:numId="9" w16cid:durableId="1824202850">
    <w:abstractNumId w:val="5"/>
  </w:num>
  <w:num w:numId="10" w16cid:durableId="413669094">
    <w:abstractNumId w:val="11"/>
  </w:num>
  <w:num w:numId="11" w16cid:durableId="947473131">
    <w:abstractNumId w:val="2"/>
  </w:num>
  <w:num w:numId="12" w16cid:durableId="147738037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37946"/>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03D"/>
    <w:rsid w:val="000D2871"/>
    <w:rsid w:val="000E31E3"/>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66D53"/>
    <w:rsid w:val="001726A8"/>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0C13"/>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1DCF"/>
    <w:rsid w:val="002D53F7"/>
    <w:rsid w:val="002D6770"/>
    <w:rsid w:val="002D78EB"/>
    <w:rsid w:val="002E02EA"/>
    <w:rsid w:val="002E1A07"/>
    <w:rsid w:val="002E20DC"/>
    <w:rsid w:val="002E424B"/>
    <w:rsid w:val="002E48CA"/>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3C32"/>
    <w:rsid w:val="00463E44"/>
    <w:rsid w:val="00473369"/>
    <w:rsid w:val="00474865"/>
    <w:rsid w:val="00480552"/>
    <w:rsid w:val="00481B44"/>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3CA"/>
    <w:rsid w:val="007157E2"/>
    <w:rsid w:val="0071597B"/>
    <w:rsid w:val="00715C3E"/>
    <w:rsid w:val="007179E5"/>
    <w:rsid w:val="007222B3"/>
    <w:rsid w:val="00723FD4"/>
    <w:rsid w:val="007305AB"/>
    <w:rsid w:val="00731498"/>
    <w:rsid w:val="0073230A"/>
    <w:rsid w:val="00733754"/>
    <w:rsid w:val="00734C47"/>
    <w:rsid w:val="00737272"/>
    <w:rsid w:val="00741457"/>
    <w:rsid w:val="00742FDA"/>
    <w:rsid w:val="00746883"/>
    <w:rsid w:val="00747511"/>
    <w:rsid w:val="0075189A"/>
    <w:rsid w:val="0075326D"/>
    <w:rsid w:val="007565C5"/>
    <w:rsid w:val="0075748E"/>
    <w:rsid w:val="007603F3"/>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5CB"/>
    <w:rsid w:val="00796708"/>
    <w:rsid w:val="007A09D8"/>
    <w:rsid w:val="007A29BF"/>
    <w:rsid w:val="007A61F9"/>
    <w:rsid w:val="007A6FF1"/>
    <w:rsid w:val="007B3E06"/>
    <w:rsid w:val="007B48BB"/>
    <w:rsid w:val="007B77D8"/>
    <w:rsid w:val="007C453D"/>
    <w:rsid w:val="007C478A"/>
    <w:rsid w:val="007C49D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6D9"/>
    <w:rsid w:val="009A0FFD"/>
    <w:rsid w:val="009A4947"/>
    <w:rsid w:val="009A7B31"/>
    <w:rsid w:val="009B0C61"/>
    <w:rsid w:val="009B2732"/>
    <w:rsid w:val="009B2C9A"/>
    <w:rsid w:val="009B50FD"/>
    <w:rsid w:val="009B732C"/>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4446"/>
    <w:rsid w:val="00A6555B"/>
    <w:rsid w:val="00A667E8"/>
    <w:rsid w:val="00A67D5B"/>
    <w:rsid w:val="00A711ED"/>
    <w:rsid w:val="00A73F96"/>
    <w:rsid w:val="00A80B27"/>
    <w:rsid w:val="00A823F8"/>
    <w:rsid w:val="00A84E3B"/>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F94"/>
    <w:rsid w:val="00AF205F"/>
    <w:rsid w:val="00AF5F6A"/>
    <w:rsid w:val="00B00A07"/>
    <w:rsid w:val="00B00C89"/>
    <w:rsid w:val="00B048E8"/>
    <w:rsid w:val="00B04925"/>
    <w:rsid w:val="00B10AB7"/>
    <w:rsid w:val="00B14070"/>
    <w:rsid w:val="00B15136"/>
    <w:rsid w:val="00B17100"/>
    <w:rsid w:val="00B24D0F"/>
    <w:rsid w:val="00B262DA"/>
    <w:rsid w:val="00B262E7"/>
    <w:rsid w:val="00B263FA"/>
    <w:rsid w:val="00B308EA"/>
    <w:rsid w:val="00B31F06"/>
    <w:rsid w:val="00B33625"/>
    <w:rsid w:val="00B401CA"/>
    <w:rsid w:val="00B42FE9"/>
    <w:rsid w:val="00B46027"/>
    <w:rsid w:val="00B5294C"/>
    <w:rsid w:val="00B5358F"/>
    <w:rsid w:val="00B56D95"/>
    <w:rsid w:val="00B57F06"/>
    <w:rsid w:val="00B605CC"/>
    <w:rsid w:val="00B63493"/>
    <w:rsid w:val="00B671C8"/>
    <w:rsid w:val="00B703CA"/>
    <w:rsid w:val="00B71E52"/>
    <w:rsid w:val="00B7305F"/>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475F"/>
    <w:rsid w:val="00BB5B8E"/>
    <w:rsid w:val="00BC38DD"/>
    <w:rsid w:val="00BC3AD1"/>
    <w:rsid w:val="00BC4200"/>
    <w:rsid w:val="00BC4567"/>
    <w:rsid w:val="00BD3B7C"/>
    <w:rsid w:val="00BD5ABD"/>
    <w:rsid w:val="00BD6F5A"/>
    <w:rsid w:val="00BE13C0"/>
    <w:rsid w:val="00BE1FCC"/>
    <w:rsid w:val="00BE2AC4"/>
    <w:rsid w:val="00BE5441"/>
    <w:rsid w:val="00BF6B77"/>
    <w:rsid w:val="00BF7D99"/>
    <w:rsid w:val="00C0099E"/>
    <w:rsid w:val="00C015B1"/>
    <w:rsid w:val="00C02787"/>
    <w:rsid w:val="00C069B9"/>
    <w:rsid w:val="00C10961"/>
    <w:rsid w:val="00C127EE"/>
    <w:rsid w:val="00C16063"/>
    <w:rsid w:val="00C20823"/>
    <w:rsid w:val="00C23732"/>
    <w:rsid w:val="00C2589D"/>
    <w:rsid w:val="00C26AB2"/>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D30"/>
    <w:rsid w:val="00D42C08"/>
    <w:rsid w:val="00D454BA"/>
    <w:rsid w:val="00D4622D"/>
    <w:rsid w:val="00D51F13"/>
    <w:rsid w:val="00D5475B"/>
    <w:rsid w:val="00D54FEB"/>
    <w:rsid w:val="00D5528F"/>
    <w:rsid w:val="00D55E6A"/>
    <w:rsid w:val="00D571E8"/>
    <w:rsid w:val="00D57524"/>
    <w:rsid w:val="00D6058A"/>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6AD0"/>
    <w:rsid w:val="00E374A8"/>
    <w:rsid w:val="00E37E91"/>
    <w:rsid w:val="00E4028E"/>
    <w:rsid w:val="00E42C6A"/>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4:docId w14:val="0646C6A8"/>
  <w15:chartTrackingRefBased/>
  <w15:docId w15:val="{186736FF-EB1C-458D-AE28-67D74BB8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Word_97_-_2003_Document4.doc"/><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Word_97_-_2003_Document3.doc"/><Relationship Id="rId20" Type="http://schemas.openxmlformats.org/officeDocument/2006/relationships/oleObject" Target="embeddings/Microsoft_Word_97_-_2003_Document5.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oleObject" Target="embeddings/Microsoft_Word_97_-_2003_Document1.doc"/><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2.doc"/><Relationship Id="rId22" Type="http://schemas.openxmlformats.org/officeDocument/2006/relationships/oleObject" Target="embeddings/Microsoft_Word_97_-_2003_Document6.doc"/><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1938</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4</cp:revision>
  <cp:lastPrinted>2007-05-04T14:15:00Z</cp:lastPrinted>
  <dcterms:created xsi:type="dcterms:W3CDTF">2023-05-16T17:48:00Z</dcterms:created>
  <dcterms:modified xsi:type="dcterms:W3CDTF">2023-05-16T18:15:00Z</dcterms:modified>
</cp:coreProperties>
</file>