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B269"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p>
    <w:p w14:paraId="27C52A55" w14:textId="77777777" w:rsidR="00384914" w:rsidRPr="009E679C" w:rsidRDefault="00384914" w:rsidP="004757C8">
      <w:pPr>
        <w:rPr>
          <w:rFonts w:ascii="Georgia" w:hAnsi="Georgia"/>
          <w:b/>
          <w:color w:val="0000FF"/>
        </w:rPr>
      </w:pPr>
      <w:r w:rsidRPr="009E679C">
        <w:rPr>
          <w:rFonts w:ascii="Georgia" w:hAnsi="Georgia"/>
          <w:b/>
          <w:color w:val="0000FF"/>
        </w:rPr>
        <w:t>Tuesday, May 19. 2009 11am (MST)</w:t>
      </w:r>
    </w:p>
    <w:p w14:paraId="51F5BD98" w14:textId="77777777" w:rsidR="00384914" w:rsidRDefault="00384914" w:rsidP="004757C8">
      <w:pPr>
        <w:rPr>
          <w:rFonts w:ascii="Georgia" w:hAnsi="Georgia"/>
          <w:b/>
          <w:color w:val="0000FF"/>
          <w:sz w:val="22"/>
          <w:szCs w:val="22"/>
        </w:rPr>
      </w:pPr>
    </w:p>
    <w:p w14:paraId="5B774B55" w14:textId="77777777" w:rsidR="004757C8" w:rsidRPr="009E679C" w:rsidRDefault="00384914" w:rsidP="004757C8">
      <w:pPr>
        <w:rPr>
          <w:rFonts w:ascii="Georgia" w:hAnsi="Georgia"/>
          <w:color w:val="0000FF"/>
          <w:sz w:val="22"/>
          <w:szCs w:val="22"/>
        </w:rPr>
      </w:pPr>
      <w:r w:rsidRPr="009E679C">
        <w:rPr>
          <w:rFonts w:ascii="Georgia" w:hAnsi="Georgia"/>
          <w:b/>
          <w:color w:val="0000FF"/>
          <w:sz w:val="22"/>
          <w:szCs w:val="22"/>
        </w:rPr>
        <w:t xml:space="preserve">The </w:t>
      </w:r>
      <w:proofErr w:type="gramStart"/>
      <w:r w:rsidRPr="009E679C">
        <w:rPr>
          <w:rFonts w:ascii="Georgia" w:hAnsi="Georgia"/>
          <w:b/>
          <w:color w:val="0000FF"/>
          <w:sz w:val="22"/>
          <w:szCs w:val="22"/>
        </w:rPr>
        <w:t>Agenda</w:t>
      </w:r>
      <w:proofErr w:type="gramEnd"/>
      <w:r w:rsidRPr="009E679C">
        <w:rPr>
          <w:rFonts w:ascii="Georgia" w:hAnsi="Georgia"/>
          <w:b/>
          <w:color w:val="0000FF"/>
          <w:sz w:val="22"/>
          <w:szCs w:val="22"/>
        </w:rPr>
        <w:t>:</w:t>
      </w:r>
    </w:p>
    <w:p w14:paraId="0A91D0ED"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 xml:space="preserve">Define the task we are charged to do based on FCC 09-41, </w:t>
      </w:r>
      <w:proofErr w:type="gramStart"/>
      <w:r w:rsidRPr="00DA1634">
        <w:rPr>
          <w:rFonts w:ascii="Georgia" w:hAnsi="Georgia"/>
          <w:sz w:val="22"/>
          <w:szCs w:val="22"/>
        </w:rPr>
        <w:t>pp10</w:t>
      </w:r>
      <w:proofErr w:type="gramEnd"/>
    </w:p>
    <w:p w14:paraId="1708CDCC"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 xml:space="preserve">Discuss how often we think we’ll need to </w:t>
      </w:r>
      <w:proofErr w:type="gramStart"/>
      <w:r w:rsidRPr="00DA1634">
        <w:rPr>
          <w:rFonts w:ascii="Georgia" w:hAnsi="Georgia"/>
          <w:sz w:val="22"/>
          <w:szCs w:val="22"/>
        </w:rPr>
        <w:t>meet</w:t>
      </w:r>
      <w:proofErr w:type="gramEnd"/>
    </w:p>
    <w:p w14:paraId="47CBB957"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 xml:space="preserve">Discuss contribution </w:t>
      </w:r>
      <w:proofErr w:type="gramStart"/>
      <w:r w:rsidRPr="00DA1634">
        <w:rPr>
          <w:rFonts w:ascii="Georgia" w:hAnsi="Georgia"/>
          <w:sz w:val="22"/>
          <w:szCs w:val="22"/>
        </w:rPr>
        <w:t>method</w:t>
      </w:r>
      <w:proofErr w:type="gramEnd"/>
    </w:p>
    <w:p w14:paraId="6D921B37"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 xml:space="preserve">Discuss how we’ll track </w:t>
      </w:r>
      <w:proofErr w:type="gramStart"/>
      <w:r w:rsidRPr="00DA1634">
        <w:rPr>
          <w:rFonts w:ascii="Georgia" w:hAnsi="Georgia"/>
          <w:sz w:val="22"/>
          <w:szCs w:val="22"/>
        </w:rPr>
        <w:t>items</w:t>
      </w:r>
      <w:proofErr w:type="gramEnd"/>
      <w:r w:rsidRPr="00DA1634">
        <w:rPr>
          <w:rFonts w:ascii="Georgia" w:hAnsi="Georgia"/>
          <w:sz w:val="22"/>
          <w:szCs w:val="22"/>
        </w:rPr>
        <w:t xml:space="preserve"> </w:t>
      </w:r>
    </w:p>
    <w:p w14:paraId="192AFA4E"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Discuss how a ‘Business Day’ was defined/described in previous LNP related orders to use as a starting point. (If anyone has these cites, please send them to me and I can distribute to the rest of the team. If we don’t have them, one of the first tasks will be to locate them.)</w:t>
      </w:r>
    </w:p>
    <w:p w14:paraId="20D1366A" w14:textId="77777777" w:rsidR="004757C8" w:rsidRPr="00DA1634" w:rsidRDefault="004757C8" w:rsidP="004757C8">
      <w:pPr>
        <w:numPr>
          <w:ilvl w:val="0"/>
          <w:numId w:val="1"/>
        </w:numPr>
        <w:rPr>
          <w:rFonts w:ascii="Georgia" w:hAnsi="Georgia"/>
          <w:sz w:val="22"/>
          <w:szCs w:val="22"/>
        </w:rPr>
      </w:pPr>
      <w:r w:rsidRPr="00DA1634">
        <w:rPr>
          <w:rFonts w:ascii="Georgia" w:hAnsi="Georgia"/>
          <w:sz w:val="22"/>
          <w:szCs w:val="22"/>
        </w:rPr>
        <w:t xml:space="preserve">Set the next meeting date and expected </w:t>
      </w:r>
      <w:proofErr w:type="gramStart"/>
      <w:r w:rsidRPr="00DA1634">
        <w:rPr>
          <w:rFonts w:ascii="Georgia" w:hAnsi="Georgia"/>
          <w:sz w:val="22"/>
          <w:szCs w:val="22"/>
        </w:rPr>
        <w:t>deliverables</w:t>
      </w:r>
      <w:proofErr w:type="gramEnd"/>
    </w:p>
    <w:p w14:paraId="15213D34" w14:textId="77777777" w:rsidR="004757C8" w:rsidRPr="009E679C" w:rsidRDefault="004757C8" w:rsidP="004757C8">
      <w:pPr>
        <w:rPr>
          <w:rFonts w:ascii="Georgia" w:hAnsi="Georgia"/>
          <w:color w:val="0000FF"/>
          <w:sz w:val="22"/>
          <w:szCs w:val="22"/>
        </w:rPr>
      </w:pPr>
    </w:p>
    <w:p w14:paraId="3735AC50"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2700"/>
        <w:gridCol w:w="1368"/>
      </w:tblGrid>
      <w:tr w:rsidR="009E679C" w:rsidRPr="009E679C" w14:paraId="69B04AF1" w14:textId="77777777" w:rsidTr="006A48E5">
        <w:tc>
          <w:tcPr>
            <w:tcW w:w="2088" w:type="dxa"/>
          </w:tcPr>
          <w:p w14:paraId="21204A49"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2700" w:type="dxa"/>
          </w:tcPr>
          <w:p w14:paraId="6ECEA876"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368" w:type="dxa"/>
          </w:tcPr>
          <w:p w14:paraId="09219DD3"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52E343EF" w14:textId="77777777" w:rsidTr="006A48E5">
        <w:tc>
          <w:tcPr>
            <w:tcW w:w="2088" w:type="dxa"/>
          </w:tcPr>
          <w:p w14:paraId="2B37EE99"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Jan Doell</w:t>
            </w:r>
          </w:p>
        </w:tc>
        <w:tc>
          <w:tcPr>
            <w:tcW w:w="2700" w:type="dxa"/>
          </w:tcPr>
          <w:p w14:paraId="1BC91E67"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Qwest</w:t>
            </w:r>
          </w:p>
        </w:tc>
        <w:tc>
          <w:tcPr>
            <w:tcW w:w="1368" w:type="dxa"/>
          </w:tcPr>
          <w:p w14:paraId="0DA01F73"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51F1E7B8" w14:textId="77777777" w:rsidTr="006A48E5">
        <w:tc>
          <w:tcPr>
            <w:tcW w:w="2088" w:type="dxa"/>
          </w:tcPr>
          <w:p w14:paraId="73B21AC3"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 xml:space="preserve">Tracey </w:t>
            </w:r>
            <w:proofErr w:type="spellStart"/>
            <w:r w:rsidRPr="009E679C">
              <w:rPr>
                <w:rFonts w:ascii="Georgia" w:hAnsi="Georgia" w:cs="Georgia"/>
                <w:color w:val="0000FF"/>
                <w:sz w:val="22"/>
                <w:szCs w:val="22"/>
              </w:rPr>
              <w:t>Guidotti</w:t>
            </w:r>
            <w:proofErr w:type="spellEnd"/>
          </w:p>
        </w:tc>
        <w:tc>
          <w:tcPr>
            <w:tcW w:w="2700" w:type="dxa"/>
          </w:tcPr>
          <w:p w14:paraId="12B99D1C"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75CCEECB"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56F7527F" w14:textId="77777777" w:rsidTr="006A48E5">
        <w:tc>
          <w:tcPr>
            <w:tcW w:w="2088" w:type="dxa"/>
          </w:tcPr>
          <w:p w14:paraId="48534EFE"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Ron Steen</w:t>
            </w:r>
          </w:p>
        </w:tc>
        <w:tc>
          <w:tcPr>
            <w:tcW w:w="2700" w:type="dxa"/>
          </w:tcPr>
          <w:p w14:paraId="3F0A3540"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05A99CF7"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vacation</w:t>
            </w:r>
          </w:p>
        </w:tc>
      </w:tr>
      <w:tr w:rsidR="009E679C" w:rsidRPr="009E679C" w14:paraId="5C3B04AE" w14:textId="77777777" w:rsidTr="006A48E5">
        <w:tc>
          <w:tcPr>
            <w:tcW w:w="2088" w:type="dxa"/>
          </w:tcPr>
          <w:p w14:paraId="6924B6C3"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Mark Lancaster</w:t>
            </w:r>
          </w:p>
        </w:tc>
        <w:tc>
          <w:tcPr>
            <w:tcW w:w="2700" w:type="dxa"/>
          </w:tcPr>
          <w:p w14:paraId="408454DF"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2FB8B66B"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0AD5B3D8" w14:textId="77777777" w:rsidTr="006A48E5">
        <w:tc>
          <w:tcPr>
            <w:tcW w:w="2088" w:type="dxa"/>
          </w:tcPr>
          <w:p w14:paraId="5F2F70EF"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Sue Tiffany</w:t>
            </w:r>
          </w:p>
        </w:tc>
        <w:tc>
          <w:tcPr>
            <w:tcW w:w="2700" w:type="dxa"/>
          </w:tcPr>
          <w:p w14:paraId="3A0C65FA"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Sprint-Nextel</w:t>
            </w:r>
          </w:p>
        </w:tc>
        <w:tc>
          <w:tcPr>
            <w:tcW w:w="1368" w:type="dxa"/>
          </w:tcPr>
          <w:p w14:paraId="08B109E8"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vacation</w:t>
            </w:r>
          </w:p>
        </w:tc>
      </w:tr>
      <w:tr w:rsidR="009E679C" w:rsidRPr="009E679C" w14:paraId="0C415A2D" w14:textId="77777777" w:rsidTr="006A48E5">
        <w:tc>
          <w:tcPr>
            <w:tcW w:w="2088" w:type="dxa"/>
          </w:tcPr>
          <w:p w14:paraId="43611F8A"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Bonnie Johnson</w:t>
            </w:r>
          </w:p>
        </w:tc>
        <w:tc>
          <w:tcPr>
            <w:tcW w:w="2700" w:type="dxa"/>
          </w:tcPr>
          <w:p w14:paraId="0003C236"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Integra</w:t>
            </w:r>
          </w:p>
        </w:tc>
        <w:tc>
          <w:tcPr>
            <w:tcW w:w="1368" w:type="dxa"/>
          </w:tcPr>
          <w:p w14:paraId="2B3E3343"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007E95D7" w14:textId="77777777" w:rsidTr="006A48E5">
        <w:tc>
          <w:tcPr>
            <w:tcW w:w="2088" w:type="dxa"/>
          </w:tcPr>
          <w:p w14:paraId="422D2090"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Linda Peterman</w:t>
            </w:r>
          </w:p>
        </w:tc>
        <w:tc>
          <w:tcPr>
            <w:tcW w:w="2700" w:type="dxa"/>
          </w:tcPr>
          <w:p w14:paraId="58471CF3"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One Communications</w:t>
            </w:r>
          </w:p>
        </w:tc>
        <w:tc>
          <w:tcPr>
            <w:tcW w:w="1368" w:type="dxa"/>
          </w:tcPr>
          <w:p w14:paraId="3B2E7656"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0EF4B62A" w14:textId="77777777" w:rsidTr="006A48E5">
        <w:tc>
          <w:tcPr>
            <w:tcW w:w="2088" w:type="dxa"/>
          </w:tcPr>
          <w:p w14:paraId="13470F5B" w14:textId="77777777" w:rsidR="009E679C" w:rsidRPr="009E679C" w:rsidRDefault="009E679C" w:rsidP="00384914">
            <w:pPr>
              <w:autoSpaceDE w:val="0"/>
              <w:autoSpaceDN w:val="0"/>
              <w:adjustRightInd w:val="0"/>
              <w:rPr>
                <w:rFonts w:ascii="Georgia" w:hAnsi="Georgia" w:cs="Georgia"/>
                <w:b/>
                <w:color w:val="0000FF"/>
                <w:sz w:val="22"/>
                <w:szCs w:val="22"/>
              </w:rPr>
            </w:pPr>
            <w:smartTag w:uri="urn:schemas-microsoft-com:office:smarttags" w:element="place">
              <w:smartTag w:uri="urn:schemas-microsoft-com:office:smarttags" w:element="City">
                <w:r w:rsidRPr="009E679C">
                  <w:rPr>
                    <w:rFonts w:ascii="Georgia" w:hAnsi="Georgia" w:cs="Georgia"/>
                    <w:color w:val="0000FF"/>
                    <w:sz w:val="22"/>
                    <w:szCs w:val="22"/>
                  </w:rPr>
                  <w:t>Gary</w:t>
                </w:r>
              </w:smartTag>
            </w:smartTag>
            <w:r w:rsidRPr="009E679C">
              <w:rPr>
                <w:rFonts w:ascii="Georgia" w:hAnsi="Georgia" w:cs="Georgia"/>
                <w:color w:val="0000FF"/>
                <w:sz w:val="22"/>
                <w:szCs w:val="22"/>
              </w:rPr>
              <w:t xml:space="preserve"> Sacra</w:t>
            </w:r>
          </w:p>
        </w:tc>
        <w:tc>
          <w:tcPr>
            <w:tcW w:w="2700" w:type="dxa"/>
          </w:tcPr>
          <w:p w14:paraId="2824DD05"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293FC852"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traveling</w:t>
            </w:r>
          </w:p>
        </w:tc>
      </w:tr>
      <w:tr w:rsidR="009E679C" w:rsidRPr="009E679C" w14:paraId="45BCBCDB" w14:textId="77777777" w:rsidTr="006A48E5">
        <w:tc>
          <w:tcPr>
            <w:tcW w:w="2088" w:type="dxa"/>
          </w:tcPr>
          <w:p w14:paraId="5CFD2636"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Jason Lee</w:t>
            </w:r>
          </w:p>
        </w:tc>
        <w:tc>
          <w:tcPr>
            <w:tcW w:w="2700" w:type="dxa"/>
          </w:tcPr>
          <w:p w14:paraId="76AFC99B"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50D63BB0"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0C0680ED" w14:textId="77777777" w:rsidTr="006A48E5">
        <w:tc>
          <w:tcPr>
            <w:tcW w:w="2088" w:type="dxa"/>
          </w:tcPr>
          <w:p w14:paraId="74A6094D"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Cindy Sheehan</w:t>
            </w:r>
          </w:p>
        </w:tc>
        <w:tc>
          <w:tcPr>
            <w:tcW w:w="2700" w:type="dxa"/>
          </w:tcPr>
          <w:p w14:paraId="20BFD6D2"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Comcast</w:t>
            </w:r>
          </w:p>
        </w:tc>
        <w:tc>
          <w:tcPr>
            <w:tcW w:w="1368" w:type="dxa"/>
          </w:tcPr>
          <w:p w14:paraId="7AA0F5E6"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r w:rsidR="009E679C" w:rsidRPr="009E679C" w14:paraId="07F4660C" w14:textId="77777777" w:rsidTr="006A48E5">
        <w:tc>
          <w:tcPr>
            <w:tcW w:w="2088" w:type="dxa"/>
          </w:tcPr>
          <w:p w14:paraId="708CCE0D"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Carolyn Brown</w:t>
            </w:r>
          </w:p>
        </w:tc>
        <w:tc>
          <w:tcPr>
            <w:tcW w:w="2700" w:type="dxa"/>
          </w:tcPr>
          <w:p w14:paraId="64C9AD46"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Qwest</w:t>
            </w:r>
          </w:p>
        </w:tc>
        <w:tc>
          <w:tcPr>
            <w:tcW w:w="1368" w:type="dxa"/>
          </w:tcPr>
          <w:p w14:paraId="28094DA4" w14:textId="77777777" w:rsidR="009E679C" w:rsidRPr="009E679C" w:rsidRDefault="009E679C"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 xml:space="preserve"> X</w:t>
            </w:r>
          </w:p>
        </w:tc>
      </w:tr>
    </w:tbl>
    <w:p w14:paraId="45FB8931" w14:textId="77777777" w:rsidR="00DB1425" w:rsidRDefault="00DB1425" w:rsidP="00DB1425">
      <w:pPr>
        <w:rPr>
          <w:rFonts w:ascii="Georgia" w:hAnsi="Georgia"/>
          <w:b/>
          <w:color w:val="0000FF"/>
          <w:sz w:val="22"/>
          <w:szCs w:val="22"/>
        </w:rPr>
      </w:pPr>
    </w:p>
    <w:p w14:paraId="5DCAE46E" w14:textId="77777777" w:rsidR="00DB1425" w:rsidRDefault="00DB1425" w:rsidP="00DB1425">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4BAA42AD" w14:textId="77777777" w:rsidR="00DB1425" w:rsidRDefault="00DB1425" w:rsidP="00DB1425">
      <w:pPr>
        <w:rPr>
          <w:rFonts w:ascii="Georgia" w:hAnsi="Georgia"/>
          <w:sz w:val="22"/>
          <w:szCs w:val="22"/>
        </w:rPr>
      </w:pPr>
      <w:r>
        <w:rPr>
          <w:rFonts w:ascii="Georgia" w:hAnsi="Georgia"/>
          <w:sz w:val="22"/>
          <w:szCs w:val="22"/>
        </w:rPr>
        <w:t xml:space="preserve"> I am not going to keep specific meeting notes on what everyone said. I will just summarize the action items and any actual agreements and areas to work on, as they come up. I will also show cites as applicable. If someone feels they want notes on what everyone said, they will need to keep them, themselves.</w:t>
      </w:r>
    </w:p>
    <w:p w14:paraId="5DCCC435" w14:textId="77777777" w:rsidR="00384914" w:rsidRPr="009E679C" w:rsidRDefault="00384914" w:rsidP="00384914">
      <w:pPr>
        <w:autoSpaceDE w:val="0"/>
        <w:autoSpaceDN w:val="0"/>
        <w:adjustRightInd w:val="0"/>
        <w:rPr>
          <w:rFonts w:ascii="Georgia" w:hAnsi="Georgia" w:cs="Georgia"/>
          <w:b/>
          <w:color w:val="0000FF"/>
          <w:sz w:val="22"/>
          <w:szCs w:val="22"/>
        </w:rPr>
      </w:pPr>
    </w:p>
    <w:p w14:paraId="13900B89" w14:textId="77777777" w:rsidR="004757C8" w:rsidRPr="009E679C" w:rsidRDefault="00384914" w:rsidP="00384914">
      <w:pPr>
        <w:autoSpaceDE w:val="0"/>
        <w:autoSpaceDN w:val="0"/>
        <w:adjustRightInd w:val="0"/>
        <w:rPr>
          <w:rFonts w:ascii="Georgia" w:hAnsi="Georgia"/>
          <w:sz w:val="22"/>
          <w:szCs w:val="22"/>
        </w:rPr>
      </w:pPr>
      <w:r w:rsidRPr="009E679C">
        <w:rPr>
          <w:rFonts w:ascii="Georgia" w:hAnsi="Georgia" w:cs="Georgia"/>
          <w:color w:val="0000FF"/>
          <w:sz w:val="22"/>
          <w:szCs w:val="22"/>
        </w:rPr>
        <w:tab/>
      </w:r>
    </w:p>
    <w:p w14:paraId="181737ED"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Pr="009E679C">
        <w:rPr>
          <w:rFonts w:ascii="Georgia" w:hAnsi="Georgia" w:cs="Georgia"/>
          <w:b/>
          <w:bCs/>
          <w:color w:val="0000FF"/>
          <w:sz w:val="22"/>
          <w:szCs w:val="22"/>
        </w:rPr>
        <w:t>:</w:t>
      </w:r>
    </w:p>
    <w:p w14:paraId="4DC93891"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day.30</w:t>
      </w:r>
    </w:p>
    <w:p w14:paraId="3B8BF8BB"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03D1E08D"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9E679C">
        <w:rPr>
          <w:rFonts w:ascii="Georgia" w:hAnsi="Georgia" w:cs="TimesNewRoman"/>
          <w:color w:val="010101"/>
          <w:sz w:val="22"/>
          <w:szCs w:val="22"/>
        </w:rPr>
        <w:t>33</w:t>
      </w:r>
      <w:proofErr w:type="gramEnd"/>
      <w:r w:rsidR="009E679C" w:rsidRPr="009E679C">
        <w:rPr>
          <w:rFonts w:ascii="Georgia" w:hAnsi="Georgia" w:cs="TimesNewRoman"/>
          <w:color w:val="010101"/>
          <w:sz w:val="22"/>
          <w:szCs w:val="22"/>
        </w:rPr>
        <w:t>”</w:t>
      </w:r>
    </w:p>
    <w:p w14:paraId="25A020B2"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0B130B3C"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measured.39</w:t>
      </w:r>
    </w:p>
    <w:p w14:paraId="74A2A39B"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1E6B74F6" w14:textId="77777777" w:rsidR="004757C8" w:rsidRDefault="004757C8">
      <w:pPr>
        <w:rPr>
          <w:rFonts w:ascii="Georgia" w:hAnsi="Georgia"/>
          <w:sz w:val="22"/>
          <w:szCs w:val="22"/>
        </w:rPr>
      </w:pPr>
    </w:p>
    <w:p w14:paraId="1B72BA64" w14:textId="77777777" w:rsidR="00450CEA" w:rsidRPr="00450CEA" w:rsidRDefault="00450CEA">
      <w:pPr>
        <w:rPr>
          <w:rFonts w:ascii="Georgia" w:hAnsi="Georgia"/>
          <w:b/>
          <w:color w:val="0000FF"/>
          <w:sz w:val="22"/>
          <w:szCs w:val="22"/>
        </w:rPr>
      </w:pPr>
      <w:r w:rsidRPr="00450CEA">
        <w:rPr>
          <w:rFonts w:ascii="Georgia" w:hAnsi="Georgia"/>
          <w:b/>
          <w:color w:val="0000FF"/>
          <w:sz w:val="22"/>
          <w:szCs w:val="22"/>
        </w:rPr>
        <w:t>The Agreed Upon Goal:</w:t>
      </w:r>
    </w:p>
    <w:p w14:paraId="1B654A93"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17EA9E61" w14:textId="77777777" w:rsidR="00450CEA" w:rsidRPr="009E679C" w:rsidRDefault="00450CEA">
      <w:pPr>
        <w:rPr>
          <w:rFonts w:ascii="Georgia" w:hAnsi="Georgia"/>
          <w:sz w:val="22"/>
          <w:szCs w:val="22"/>
        </w:rPr>
      </w:pPr>
    </w:p>
    <w:p w14:paraId="1ECAB2D3" w14:textId="77777777" w:rsidR="004757C8" w:rsidRPr="009E679C" w:rsidRDefault="009E679C">
      <w:pPr>
        <w:rPr>
          <w:rFonts w:ascii="Georgia" w:hAnsi="Georgia"/>
          <w:b/>
          <w:color w:val="0000FF"/>
          <w:sz w:val="22"/>
          <w:szCs w:val="22"/>
        </w:rPr>
      </w:pPr>
      <w:r w:rsidRPr="009E679C">
        <w:rPr>
          <w:rFonts w:ascii="Georgia" w:hAnsi="Georgia"/>
          <w:b/>
          <w:color w:val="0000FF"/>
          <w:sz w:val="22"/>
          <w:szCs w:val="22"/>
        </w:rPr>
        <w:lastRenderedPageBreak/>
        <w:t>Action Items:</w:t>
      </w:r>
    </w:p>
    <w:p w14:paraId="613B1C58" w14:textId="77777777" w:rsidR="009E679C" w:rsidRPr="009E679C" w:rsidRDefault="000A0665" w:rsidP="000A0665">
      <w:pPr>
        <w:rPr>
          <w:rFonts w:ascii="Georgia" w:hAnsi="Georgia"/>
          <w:sz w:val="22"/>
          <w:szCs w:val="22"/>
        </w:rPr>
      </w:pPr>
      <w:r w:rsidRPr="000A0665">
        <w:rPr>
          <w:rFonts w:ascii="Georgia" w:hAnsi="Georgia"/>
          <w:b/>
          <w:sz w:val="22"/>
          <w:szCs w:val="22"/>
        </w:rPr>
        <w:t>BD</w:t>
      </w:r>
      <w:r w:rsidR="009E679C" w:rsidRPr="000A0665">
        <w:rPr>
          <w:rFonts w:ascii="Georgia" w:hAnsi="Georgia"/>
          <w:b/>
          <w:sz w:val="22"/>
          <w:szCs w:val="22"/>
        </w:rPr>
        <w:t>09-0501</w:t>
      </w:r>
      <w:r w:rsidR="009E679C" w:rsidRPr="009E679C">
        <w:rPr>
          <w:rFonts w:ascii="Georgia" w:hAnsi="Georgia"/>
          <w:sz w:val="22"/>
          <w:szCs w:val="22"/>
        </w:rPr>
        <w:t xml:space="preserve">: Cindy Sheehan: Find out from NPAC what hours and days the current </w:t>
      </w:r>
      <w:proofErr w:type="gramStart"/>
      <w:r w:rsidR="009E679C" w:rsidRPr="009E679C">
        <w:rPr>
          <w:rFonts w:ascii="Georgia" w:hAnsi="Georgia"/>
          <w:sz w:val="22"/>
          <w:szCs w:val="22"/>
        </w:rPr>
        <w:t>Wireline</w:t>
      </w:r>
      <w:proofErr w:type="gramEnd"/>
    </w:p>
    <w:p w14:paraId="33BB580D" w14:textId="77777777" w:rsidR="009E679C" w:rsidRDefault="009E679C" w:rsidP="009E679C">
      <w:pPr>
        <w:rPr>
          <w:rFonts w:ascii="Georgia" w:hAnsi="Georgia"/>
          <w:sz w:val="22"/>
          <w:szCs w:val="22"/>
        </w:rPr>
      </w:pPr>
      <w:r w:rsidRPr="009E679C">
        <w:rPr>
          <w:rFonts w:ascii="Georgia" w:hAnsi="Georgia"/>
          <w:sz w:val="22"/>
          <w:szCs w:val="22"/>
        </w:rPr>
        <w:t xml:space="preserve">                           </w:t>
      </w:r>
      <w:r w:rsidR="000A0665">
        <w:rPr>
          <w:rFonts w:ascii="Georgia" w:hAnsi="Georgia"/>
          <w:sz w:val="22"/>
          <w:szCs w:val="22"/>
        </w:rPr>
        <w:t>a</w:t>
      </w:r>
      <w:r w:rsidRPr="009E679C">
        <w:rPr>
          <w:rFonts w:ascii="Georgia" w:hAnsi="Georgia"/>
          <w:sz w:val="22"/>
          <w:szCs w:val="22"/>
        </w:rPr>
        <w:t>nd Wireless timers run today.</w:t>
      </w:r>
    </w:p>
    <w:p w14:paraId="352DBCC5" w14:textId="77777777" w:rsidR="000A0665" w:rsidRDefault="000A0665" w:rsidP="009E679C">
      <w:pPr>
        <w:rPr>
          <w:rFonts w:ascii="Georgia" w:hAnsi="Georgia"/>
          <w:sz w:val="22"/>
          <w:szCs w:val="22"/>
        </w:rPr>
      </w:pPr>
    </w:p>
    <w:p w14:paraId="36AFA76F" w14:textId="77777777" w:rsidR="000A0665" w:rsidRDefault="000A0665" w:rsidP="009E679C">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0BB72D50" w14:textId="77777777" w:rsidR="000A0665" w:rsidRDefault="000A0665" w:rsidP="009E679C">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0D51FD54" w14:textId="77777777" w:rsidR="000A0665" w:rsidRPr="000A0665" w:rsidRDefault="000A0665" w:rsidP="009E679C">
      <w:pPr>
        <w:rPr>
          <w:rFonts w:ascii="Georgia" w:hAnsi="Georgia"/>
          <w:sz w:val="22"/>
          <w:szCs w:val="22"/>
        </w:rPr>
      </w:pPr>
      <w:r>
        <w:rPr>
          <w:rFonts w:ascii="Georgia" w:hAnsi="Georgia"/>
          <w:sz w:val="22"/>
          <w:szCs w:val="22"/>
        </w:rPr>
        <w:t xml:space="preserve">                           Time?</w:t>
      </w:r>
    </w:p>
    <w:p w14:paraId="1D7039E3" w14:textId="77777777" w:rsidR="009E679C" w:rsidRPr="009E679C" w:rsidRDefault="009E679C" w:rsidP="009E679C">
      <w:pPr>
        <w:rPr>
          <w:rFonts w:ascii="Georgia" w:hAnsi="Georgia"/>
          <w:sz w:val="22"/>
          <w:szCs w:val="22"/>
        </w:rPr>
      </w:pPr>
    </w:p>
    <w:p w14:paraId="7569800B" w14:textId="77777777" w:rsidR="00A96F42" w:rsidRDefault="000A0665" w:rsidP="009E679C">
      <w:pPr>
        <w:rPr>
          <w:rFonts w:ascii="Georgia" w:hAnsi="Georgia"/>
          <w:sz w:val="22"/>
          <w:szCs w:val="22"/>
        </w:rPr>
      </w:pPr>
      <w:r w:rsidRPr="000A0665">
        <w:rPr>
          <w:rFonts w:ascii="Georgia" w:hAnsi="Georgia"/>
          <w:b/>
          <w:sz w:val="22"/>
          <w:szCs w:val="22"/>
        </w:rPr>
        <w:t>BD</w:t>
      </w:r>
      <w:r w:rsidR="009E679C" w:rsidRPr="000A0665">
        <w:rPr>
          <w:rFonts w:ascii="Georgia" w:hAnsi="Georgia"/>
          <w:b/>
          <w:sz w:val="22"/>
          <w:szCs w:val="22"/>
        </w:rPr>
        <w:t>09-050</w:t>
      </w:r>
      <w:r>
        <w:rPr>
          <w:rFonts w:ascii="Georgia" w:hAnsi="Georgia"/>
          <w:b/>
          <w:sz w:val="22"/>
          <w:szCs w:val="22"/>
        </w:rPr>
        <w:t>3</w:t>
      </w:r>
      <w:r w:rsidR="009E679C" w:rsidRPr="009E679C">
        <w:rPr>
          <w:rFonts w:ascii="Georgia" w:hAnsi="Georgia"/>
          <w:sz w:val="22"/>
          <w:szCs w:val="22"/>
        </w:rPr>
        <w:t xml:space="preserve">: The Entire Group: Prepare a one page “white paper” that addresses the </w:t>
      </w:r>
    </w:p>
    <w:p w14:paraId="6B622A3E" w14:textId="77777777" w:rsidR="009E679C" w:rsidRDefault="00A96F42" w:rsidP="009E679C">
      <w:pPr>
        <w:rPr>
          <w:rFonts w:ascii="Georgia" w:hAnsi="Georgia"/>
          <w:sz w:val="22"/>
          <w:szCs w:val="22"/>
        </w:rPr>
      </w:pPr>
      <w:r>
        <w:rPr>
          <w:rFonts w:ascii="Georgia" w:hAnsi="Georgia"/>
          <w:sz w:val="22"/>
          <w:szCs w:val="22"/>
        </w:rPr>
        <w:tab/>
      </w:r>
      <w:r>
        <w:rPr>
          <w:rFonts w:ascii="Georgia" w:hAnsi="Georgia"/>
          <w:sz w:val="22"/>
          <w:szCs w:val="22"/>
        </w:rPr>
        <w:tab/>
      </w:r>
      <w:r w:rsidR="009E679C" w:rsidRPr="009E679C">
        <w:rPr>
          <w:rFonts w:ascii="Georgia" w:hAnsi="Georgia"/>
          <w:sz w:val="22"/>
          <w:szCs w:val="22"/>
        </w:rPr>
        <w:t>following</w:t>
      </w:r>
      <w:r>
        <w:rPr>
          <w:rFonts w:ascii="Georgia" w:hAnsi="Georgia"/>
          <w:sz w:val="22"/>
          <w:szCs w:val="22"/>
        </w:rPr>
        <w:t>:</w:t>
      </w:r>
    </w:p>
    <w:p w14:paraId="2FFB7D4B" w14:textId="77777777" w:rsidR="00A96F42" w:rsidRDefault="00A96F42" w:rsidP="00450CEA">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5E0267F5" w14:textId="77777777" w:rsidR="00A96F42" w:rsidRDefault="00A96F42" w:rsidP="00450CEA">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1D5B074F" w14:textId="77777777" w:rsidR="00A96F42" w:rsidRDefault="00A96F42" w:rsidP="00450CEA">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48342B5B" w14:textId="77777777" w:rsidR="00A96F42" w:rsidRDefault="00A96F42" w:rsidP="00450CEA">
      <w:pPr>
        <w:numPr>
          <w:ilvl w:val="0"/>
          <w:numId w:val="3"/>
        </w:numPr>
        <w:rPr>
          <w:rFonts w:ascii="Georgia" w:hAnsi="Georgia"/>
          <w:sz w:val="22"/>
          <w:szCs w:val="22"/>
        </w:rPr>
      </w:pPr>
      <w:r>
        <w:rPr>
          <w:rFonts w:ascii="Georgia" w:hAnsi="Georgia"/>
          <w:sz w:val="22"/>
          <w:szCs w:val="22"/>
        </w:rPr>
        <w:t>List some examples</w:t>
      </w:r>
      <w:r w:rsidR="00450CEA">
        <w:rPr>
          <w:rFonts w:ascii="Georgia" w:hAnsi="Georgia"/>
          <w:sz w:val="22"/>
          <w:szCs w:val="22"/>
        </w:rPr>
        <w:t xml:space="preserve"> of different times during the day, (both inside and outside a business day) when orders arrive and when you view the business finished and the port should be completed.</w:t>
      </w:r>
    </w:p>
    <w:p w14:paraId="14700ABE" w14:textId="77777777" w:rsidR="00450CEA" w:rsidRDefault="00450CEA" w:rsidP="00450CEA">
      <w:pPr>
        <w:numPr>
          <w:ilvl w:val="0"/>
          <w:numId w:val="3"/>
        </w:numPr>
        <w:rPr>
          <w:rFonts w:ascii="Georgia" w:hAnsi="Georgia"/>
          <w:sz w:val="22"/>
          <w:szCs w:val="22"/>
        </w:rPr>
      </w:pPr>
      <w:r>
        <w:rPr>
          <w:rFonts w:ascii="Georgia" w:hAnsi="Georgia"/>
          <w:sz w:val="22"/>
          <w:szCs w:val="22"/>
        </w:rPr>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2958D5D8" w14:textId="77777777" w:rsidR="00450CEA" w:rsidRDefault="00450CEA" w:rsidP="00450CEA">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5010897F" w14:textId="77777777" w:rsidR="00A96F42" w:rsidRDefault="00A96F42" w:rsidP="009E679C">
      <w:pPr>
        <w:rPr>
          <w:rFonts w:ascii="Georgia" w:hAnsi="Georgia"/>
          <w:sz w:val="22"/>
          <w:szCs w:val="22"/>
        </w:rPr>
      </w:pPr>
    </w:p>
    <w:p w14:paraId="2577B8A9" w14:textId="77777777" w:rsidR="00450CEA" w:rsidRDefault="00450CEA" w:rsidP="009E679C">
      <w:pPr>
        <w:rPr>
          <w:rFonts w:ascii="Georgia" w:hAnsi="Georgia"/>
          <w:sz w:val="22"/>
          <w:szCs w:val="22"/>
        </w:rPr>
      </w:pPr>
    </w:p>
    <w:p w14:paraId="7CF3F7F8" w14:textId="77777777" w:rsidR="00450CEA" w:rsidRDefault="00450CEA" w:rsidP="009E679C">
      <w:pPr>
        <w:rPr>
          <w:rFonts w:ascii="Georgia" w:hAnsi="Georgia"/>
          <w:sz w:val="22"/>
          <w:szCs w:val="22"/>
        </w:rPr>
      </w:pPr>
    </w:p>
    <w:p w14:paraId="367CD75C" w14:textId="77777777" w:rsidR="00450CEA" w:rsidRDefault="00450CEA" w:rsidP="009E679C">
      <w:pPr>
        <w:rPr>
          <w:rFonts w:ascii="Georgia" w:hAnsi="Georgia"/>
          <w:sz w:val="22"/>
          <w:szCs w:val="22"/>
        </w:rPr>
      </w:pPr>
    </w:p>
    <w:p w14:paraId="6E5EBE69" w14:textId="77777777" w:rsidR="00450CEA" w:rsidRPr="00450CEA" w:rsidRDefault="00450CEA" w:rsidP="009E679C">
      <w:pPr>
        <w:rPr>
          <w:rFonts w:ascii="Georgia" w:hAnsi="Georgia"/>
          <w:b/>
          <w:color w:val="0000FF"/>
          <w:sz w:val="22"/>
          <w:szCs w:val="22"/>
        </w:rPr>
      </w:pPr>
      <w:r w:rsidRPr="00450CEA">
        <w:rPr>
          <w:rFonts w:ascii="Georgia" w:hAnsi="Georgia"/>
          <w:b/>
          <w:color w:val="0000FF"/>
          <w:sz w:val="22"/>
          <w:szCs w:val="22"/>
        </w:rPr>
        <w:t>Other Information/Cites discussed:</w:t>
      </w:r>
    </w:p>
    <w:p w14:paraId="43BBA1C1" w14:textId="77777777" w:rsidR="00450CEA" w:rsidRDefault="00450CEA" w:rsidP="009E679C">
      <w:pPr>
        <w:rPr>
          <w:rFonts w:ascii="Georgia" w:hAnsi="Georgia"/>
          <w:sz w:val="22"/>
          <w:szCs w:val="22"/>
        </w:rPr>
      </w:pPr>
    </w:p>
    <w:p w14:paraId="10393A44" w14:textId="77777777" w:rsidR="00450CEA" w:rsidRPr="00450CEA" w:rsidRDefault="00450CEA" w:rsidP="00450CEA">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7E7CEB50" w14:textId="77777777" w:rsidR="00450CEA" w:rsidRPr="00450CEA" w:rsidRDefault="00450CEA" w:rsidP="00450CEA">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195C4723" w14:textId="77777777" w:rsidR="00450CEA" w:rsidRDefault="00450CEA" w:rsidP="00450CEA">
      <w:pPr>
        <w:rPr>
          <w:rFonts w:ascii="Arial" w:hAnsi="Arial" w:cs="Arial"/>
        </w:rPr>
      </w:pPr>
    </w:p>
    <w:p w14:paraId="0421D2EC" w14:textId="77777777" w:rsidR="00450CEA" w:rsidRDefault="00450CEA" w:rsidP="009E679C">
      <w:pPr>
        <w:rPr>
          <w:rFonts w:ascii="Georgia" w:hAnsi="Georgia"/>
          <w:sz w:val="22"/>
          <w:szCs w:val="22"/>
        </w:rPr>
      </w:pPr>
    </w:p>
    <w:p w14:paraId="20A56CF8" w14:textId="77777777" w:rsidR="00DA1634" w:rsidRPr="00DA1634" w:rsidRDefault="00DA1634" w:rsidP="009E679C">
      <w:pPr>
        <w:rPr>
          <w:rFonts w:ascii="Georgia" w:hAnsi="Georgia"/>
          <w:b/>
          <w:color w:val="0000FF"/>
          <w:sz w:val="22"/>
          <w:szCs w:val="22"/>
        </w:rPr>
      </w:pPr>
      <w:r w:rsidRPr="00DA1634">
        <w:rPr>
          <w:rFonts w:ascii="Georgia" w:hAnsi="Georgia"/>
          <w:b/>
          <w:color w:val="0000FF"/>
          <w:sz w:val="22"/>
          <w:szCs w:val="22"/>
        </w:rPr>
        <w:t>Chart for tracking Discussion:</w:t>
      </w:r>
    </w:p>
    <w:p w14:paraId="055239A5" w14:textId="77777777" w:rsidR="00DA1634" w:rsidRDefault="00DA1634" w:rsidP="009E679C">
      <w:pPr>
        <w:rPr>
          <w:rFonts w:ascii="Georgia" w:hAnsi="Georgia"/>
          <w:sz w:val="22"/>
          <w:szCs w:val="22"/>
        </w:rPr>
      </w:pPr>
    </w:p>
    <w:tbl>
      <w:tblPr>
        <w:tblStyle w:val="TableGrid"/>
        <w:tblW w:w="0" w:type="auto"/>
        <w:tblLook w:val="01E0" w:firstRow="1" w:lastRow="1" w:firstColumn="1" w:lastColumn="1" w:noHBand="0" w:noVBand="0"/>
      </w:tblPr>
      <w:tblGrid>
        <w:gridCol w:w="4788"/>
        <w:gridCol w:w="4500"/>
      </w:tblGrid>
      <w:tr w:rsidR="00DA1634" w14:paraId="03ADE23D" w14:textId="77777777" w:rsidTr="00DA1634">
        <w:tc>
          <w:tcPr>
            <w:tcW w:w="4788" w:type="dxa"/>
          </w:tcPr>
          <w:p w14:paraId="3E7A105C" w14:textId="77777777" w:rsidR="00DA1634" w:rsidRPr="00DA1634" w:rsidRDefault="00DA1634" w:rsidP="00DA1634">
            <w:pPr>
              <w:jc w:val="center"/>
              <w:rPr>
                <w:rFonts w:ascii="Georgia" w:hAnsi="Georgia"/>
                <w:b/>
                <w:sz w:val="22"/>
                <w:szCs w:val="22"/>
              </w:rPr>
            </w:pPr>
            <w:r w:rsidRPr="00DA1634">
              <w:rPr>
                <w:rFonts w:ascii="Georgia" w:hAnsi="Georgia"/>
                <w:b/>
                <w:sz w:val="22"/>
                <w:szCs w:val="22"/>
              </w:rPr>
              <w:t>Areas of Agreement</w:t>
            </w:r>
          </w:p>
        </w:tc>
        <w:tc>
          <w:tcPr>
            <w:tcW w:w="4500" w:type="dxa"/>
          </w:tcPr>
          <w:p w14:paraId="6BD273B5" w14:textId="77777777" w:rsidR="00DA1634" w:rsidRPr="00DA1634" w:rsidRDefault="00DA1634" w:rsidP="00DA1634">
            <w:pPr>
              <w:jc w:val="center"/>
              <w:rPr>
                <w:rFonts w:ascii="Georgia" w:hAnsi="Georgia"/>
                <w:b/>
                <w:sz w:val="22"/>
                <w:szCs w:val="22"/>
              </w:rPr>
            </w:pPr>
            <w:r w:rsidRPr="00DA1634">
              <w:rPr>
                <w:rFonts w:ascii="Georgia" w:hAnsi="Georgia"/>
                <w:b/>
                <w:sz w:val="22"/>
                <w:szCs w:val="22"/>
              </w:rPr>
              <w:t>Areas Still to Work Out</w:t>
            </w:r>
          </w:p>
        </w:tc>
      </w:tr>
      <w:tr w:rsidR="00DA1634" w14:paraId="4D29699C" w14:textId="77777777" w:rsidTr="00DA1634">
        <w:tc>
          <w:tcPr>
            <w:tcW w:w="4788" w:type="dxa"/>
          </w:tcPr>
          <w:p w14:paraId="40CCFED3" w14:textId="77777777" w:rsidR="00DA1634" w:rsidRDefault="00DA1634" w:rsidP="009E679C">
            <w:pPr>
              <w:rPr>
                <w:rFonts w:ascii="Georgia" w:hAnsi="Georgia"/>
                <w:sz w:val="22"/>
                <w:szCs w:val="22"/>
              </w:rPr>
            </w:pPr>
          </w:p>
        </w:tc>
        <w:tc>
          <w:tcPr>
            <w:tcW w:w="4500" w:type="dxa"/>
          </w:tcPr>
          <w:p w14:paraId="1358B521" w14:textId="77777777" w:rsidR="00DA1634" w:rsidRDefault="00DA1634" w:rsidP="009E679C">
            <w:pPr>
              <w:rPr>
                <w:rFonts w:ascii="Georgia" w:hAnsi="Georgia"/>
                <w:sz w:val="22"/>
                <w:szCs w:val="22"/>
              </w:rPr>
            </w:pPr>
          </w:p>
        </w:tc>
      </w:tr>
      <w:tr w:rsidR="00DA1634" w14:paraId="42A35C71" w14:textId="77777777" w:rsidTr="00DA1634">
        <w:tc>
          <w:tcPr>
            <w:tcW w:w="4788" w:type="dxa"/>
          </w:tcPr>
          <w:p w14:paraId="48C56F78" w14:textId="77777777" w:rsidR="00DA1634" w:rsidRDefault="00DA1634" w:rsidP="009E679C">
            <w:pPr>
              <w:rPr>
                <w:rFonts w:ascii="Georgia" w:hAnsi="Georgia"/>
                <w:sz w:val="22"/>
                <w:szCs w:val="22"/>
              </w:rPr>
            </w:pPr>
          </w:p>
        </w:tc>
        <w:tc>
          <w:tcPr>
            <w:tcW w:w="4500" w:type="dxa"/>
          </w:tcPr>
          <w:p w14:paraId="59523AB7" w14:textId="77777777" w:rsidR="00DA1634" w:rsidRDefault="00DA1634" w:rsidP="009E679C">
            <w:pPr>
              <w:rPr>
                <w:rFonts w:ascii="Georgia" w:hAnsi="Georgia"/>
                <w:sz w:val="22"/>
                <w:szCs w:val="22"/>
              </w:rPr>
            </w:pPr>
          </w:p>
        </w:tc>
      </w:tr>
      <w:tr w:rsidR="00DA1634" w14:paraId="1959405B" w14:textId="77777777" w:rsidTr="00DA1634">
        <w:tc>
          <w:tcPr>
            <w:tcW w:w="4788" w:type="dxa"/>
          </w:tcPr>
          <w:p w14:paraId="101E2C5A" w14:textId="77777777" w:rsidR="00DA1634" w:rsidRDefault="00DA1634" w:rsidP="009E679C">
            <w:pPr>
              <w:rPr>
                <w:rFonts w:ascii="Georgia" w:hAnsi="Georgia"/>
                <w:sz w:val="22"/>
                <w:szCs w:val="22"/>
              </w:rPr>
            </w:pPr>
          </w:p>
        </w:tc>
        <w:tc>
          <w:tcPr>
            <w:tcW w:w="4500" w:type="dxa"/>
          </w:tcPr>
          <w:p w14:paraId="70982F3E" w14:textId="77777777" w:rsidR="00DA1634" w:rsidRDefault="00DA1634" w:rsidP="009E679C">
            <w:pPr>
              <w:rPr>
                <w:rFonts w:ascii="Georgia" w:hAnsi="Georgia"/>
                <w:sz w:val="22"/>
                <w:szCs w:val="22"/>
              </w:rPr>
            </w:pPr>
          </w:p>
        </w:tc>
      </w:tr>
      <w:tr w:rsidR="00DA1634" w14:paraId="7FDEFAA3" w14:textId="77777777" w:rsidTr="00DA1634">
        <w:tc>
          <w:tcPr>
            <w:tcW w:w="4788" w:type="dxa"/>
          </w:tcPr>
          <w:p w14:paraId="1006AD04" w14:textId="77777777" w:rsidR="00DA1634" w:rsidRDefault="00DA1634" w:rsidP="009E679C">
            <w:pPr>
              <w:rPr>
                <w:rFonts w:ascii="Georgia" w:hAnsi="Georgia"/>
                <w:sz w:val="22"/>
                <w:szCs w:val="22"/>
              </w:rPr>
            </w:pPr>
          </w:p>
        </w:tc>
        <w:tc>
          <w:tcPr>
            <w:tcW w:w="4500" w:type="dxa"/>
          </w:tcPr>
          <w:p w14:paraId="6B2830A4" w14:textId="77777777" w:rsidR="00DA1634" w:rsidRDefault="00DA1634" w:rsidP="009E679C">
            <w:pPr>
              <w:rPr>
                <w:rFonts w:ascii="Georgia" w:hAnsi="Georgia"/>
                <w:sz w:val="22"/>
                <w:szCs w:val="22"/>
              </w:rPr>
            </w:pPr>
          </w:p>
        </w:tc>
      </w:tr>
      <w:tr w:rsidR="00DA1634" w14:paraId="6A3F9F87" w14:textId="77777777" w:rsidTr="00DA1634">
        <w:tc>
          <w:tcPr>
            <w:tcW w:w="4788" w:type="dxa"/>
          </w:tcPr>
          <w:p w14:paraId="2842312F" w14:textId="77777777" w:rsidR="00DA1634" w:rsidRDefault="00DA1634" w:rsidP="009E679C">
            <w:pPr>
              <w:rPr>
                <w:rFonts w:ascii="Georgia" w:hAnsi="Georgia"/>
                <w:sz w:val="22"/>
                <w:szCs w:val="22"/>
              </w:rPr>
            </w:pPr>
          </w:p>
        </w:tc>
        <w:tc>
          <w:tcPr>
            <w:tcW w:w="4500" w:type="dxa"/>
          </w:tcPr>
          <w:p w14:paraId="0E659631" w14:textId="77777777" w:rsidR="00DA1634" w:rsidRDefault="00DA1634" w:rsidP="009E679C">
            <w:pPr>
              <w:rPr>
                <w:rFonts w:ascii="Georgia" w:hAnsi="Georgia"/>
                <w:sz w:val="22"/>
                <w:szCs w:val="22"/>
              </w:rPr>
            </w:pPr>
          </w:p>
        </w:tc>
      </w:tr>
      <w:tr w:rsidR="00DA1634" w14:paraId="59B86E35" w14:textId="77777777" w:rsidTr="00DA1634">
        <w:tc>
          <w:tcPr>
            <w:tcW w:w="4788" w:type="dxa"/>
          </w:tcPr>
          <w:p w14:paraId="25D7F40F" w14:textId="77777777" w:rsidR="00DA1634" w:rsidRDefault="00DA1634" w:rsidP="009E679C">
            <w:pPr>
              <w:rPr>
                <w:rFonts w:ascii="Georgia" w:hAnsi="Georgia"/>
                <w:sz w:val="22"/>
                <w:szCs w:val="22"/>
              </w:rPr>
            </w:pPr>
          </w:p>
        </w:tc>
        <w:tc>
          <w:tcPr>
            <w:tcW w:w="4500" w:type="dxa"/>
          </w:tcPr>
          <w:p w14:paraId="68BA9A25" w14:textId="77777777" w:rsidR="00DA1634" w:rsidRDefault="00DA1634" w:rsidP="009E679C">
            <w:pPr>
              <w:rPr>
                <w:rFonts w:ascii="Georgia" w:hAnsi="Georgia"/>
                <w:sz w:val="22"/>
                <w:szCs w:val="22"/>
              </w:rPr>
            </w:pPr>
          </w:p>
        </w:tc>
      </w:tr>
      <w:tr w:rsidR="00DA1634" w14:paraId="5C870E0D" w14:textId="77777777" w:rsidTr="00DA1634">
        <w:tc>
          <w:tcPr>
            <w:tcW w:w="4788" w:type="dxa"/>
          </w:tcPr>
          <w:p w14:paraId="1368CF42" w14:textId="77777777" w:rsidR="00DA1634" w:rsidRDefault="00DA1634" w:rsidP="009E679C">
            <w:pPr>
              <w:rPr>
                <w:rFonts w:ascii="Georgia" w:hAnsi="Georgia"/>
                <w:sz w:val="22"/>
                <w:szCs w:val="22"/>
              </w:rPr>
            </w:pPr>
          </w:p>
        </w:tc>
        <w:tc>
          <w:tcPr>
            <w:tcW w:w="4500" w:type="dxa"/>
          </w:tcPr>
          <w:p w14:paraId="36E3CEF3" w14:textId="77777777" w:rsidR="00DA1634" w:rsidRDefault="00DA1634" w:rsidP="009E679C">
            <w:pPr>
              <w:rPr>
                <w:rFonts w:ascii="Georgia" w:hAnsi="Georgia"/>
                <w:sz w:val="22"/>
                <w:szCs w:val="22"/>
              </w:rPr>
            </w:pPr>
          </w:p>
        </w:tc>
      </w:tr>
      <w:tr w:rsidR="00DA1634" w14:paraId="0CF3BD8B" w14:textId="77777777" w:rsidTr="00DA1634">
        <w:tc>
          <w:tcPr>
            <w:tcW w:w="4788" w:type="dxa"/>
          </w:tcPr>
          <w:p w14:paraId="4432F764" w14:textId="77777777" w:rsidR="00DA1634" w:rsidRDefault="00DA1634" w:rsidP="009E679C">
            <w:pPr>
              <w:rPr>
                <w:rFonts w:ascii="Georgia" w:hAnsi="Georgia"/>
                <w:sz w:val="22"/>
                <w:szCs w:val="22"/>
              </w:rPr>
            </w:pPr>
          </w:p>
        </w:tc>
        <w:tc>
          <w:tcPr>
            <w:tcW w:w="4500" w:type="dxa"/>
          </w:tcPr>
          <w:p w14:paraId="72499C07" w14:textId="77777777" w:rsidR="00DA1634" w:rsidRDefault="00DA1634" w:rsidP="009E679C">
            <w:pPr>
              <w:rPr>
                <w:rFonts w:ascii="Georgia" w:hAnsi="Georgia"/>
                <w:sz w:val="22"/>
                <w:szCs w:val="22"/>
              </w:rPr>
            </w:pPr>
          </w:p>
        </w:tc>
      </w:tr>
      <w:tr w:rsidR="00DA1634" w14:paraId="7A0C8658" w14:textId="77777777" w:rsidTr="00DA1634">
        <w:tc>
          <w:tcPr>
            <w:tcW w:w="4788" w:type="dxa"/>
          </w:tcPr>
          <w:p w14:paraId="7DBB40DA" w14:textId="77777777" w:rsidR="00DA1634" w:rsidRDefault="00DA1634" w:rsidP="009E679C">
            <w:pPr>
              <w:rPr>
                <w:rFonts w:ascii="Georgia" w:hAnsi="Georgia"/>
                <w:sz w:val="22"/>
                <w:szCs w:val="22"/>
              </w:rPr>
            </w:pPr>
          </w:p>
        </w:tc>
        <w:tc>
          <w:tcPr>
            <w:tcW w:w="4500" w:type="dxa"/>
          </w:tcPr>
          <w:p w14:paraId="13B3F6B7" w14:textId="77777777" w:rsidR="00DA1634" w:rsidRDefault="00DA1634" w:rsidP="009E679C">
            <w:pPr>
              <w:rPr>
                <w:rFonts w:ascii="Georgia" w:hAnsi="Georgia"/>
                <w:sz w:val="22"/>
                <w:szCs w:val="22"/>
              </w:rPr>
            </w:pPr>
          </w:p>
        </w:tc>
      </w:tr>
      <w:tr w:rsidR="00DA1634" w14:paraId="392AEFD6" w14:textId="77777777" w:rsidTr="00DA1634">
        <w:tc>
          <w:tcPr>
            <w:tcW w:w="4788" w:type="dxa"/>
          </w:tcPr>
          <w:p w14:paraId="4D8AE331" w14:textId="77777777" w:rsidR="00DA1634" w:rsidRDefault="00DA1634" w:rsidP="009E679C">
            <w:pPr>
              <w:rPr>
                <w:rFonts w:ascii="Georgia" w:hAnsi="Georgia"/>
                <w:sz w:val="22"/>
                <w:szCs w:val="22"/>
              </w:rPr>
            </w:pPr>
          </w:p>
        </w:tc>
        <w:tc>
          <w:tcPr>
            <w:tcW w:w="4500" w:type="dxa"/>
          </w:tcPr>
          <w:p w14:paraId="643AA724" w14:textId="77777777" w:rsidR="00DA1634" w:rsidRDefault="00DA1634" w:rsidP="009E679C">
            <w:pPr>
              <w:rPr>
                <w:rFonts w:ascii="Georgia" w:hAnsi="Georgia"/>
                <w:sz w:val="22"/>
                <w:szCs w:val="22"/>
              </w:rPr>
            </w:pPr>
          </w:p>
        </w:tc>
      </w:tr>
      <w:tr w:rsidR="00DA1634" w14:paraId="50012535" w14:textId="77777777" w:rsidTr="00DA1634">
        <w:tc>
          <w:tcPr>
            <w:tcW w:w="4788" w:type="dxa"/>
          </w:tcPr>
          <w:p w14:paraId="3F3FC3D4" w14:textId="77777777" w:rsidR="00DA1634" w:rsidRDefault="00DA1634" w:rsidP="009E679C">
            <w:pPr>
              <w:rPr>
                <w:rFonts w:ascii="Georgia" w:hAnsi="Georgia"/>
                <w:sz w:val="22"/>
                <w:szCs w:val="22"/>
              </w:rPr>
            </w:pPr>
          </w:p>
        </w:tc>
        <w:tc>
          <w:tcPr>
            <w:tcW w:w="4500" w:type="dxa"/>
          </w:tcPr>
          <w:p w14:paraId="0C4862C0" w14:textId="77777777" w:rsidR="00DA1634" w:rsidRDefault="00DA1634" w:rsidP="009E679C">
            <w:pPr>
              <w:rPr>
                <w:rFonts w:ascii="Georgia" w:hAnsi="Georgia"/>
                <w:sz w:val="22"/>
                <w:szCs w:val="22"/>
              </w:rPr>
            </w:pPr>
          </w:p>
        </w:tc>
      </w:tr>
      <w:tr w:rsidR="00DA1634" w14:paraId="65911C65" w14:textId="77777777" w:rsidTr="00DA1634">
        <w:tc>
          <w:tcPr>
            <w:tcW w:w="4788" w:type="dxa"/>
          </w:tcPr>
          <w:p w14:paraId="56FD4AB4" w14:textId="77777777" w:rsidR="00DA1634" w:rsidRDefault="00DA1634" w:rsidP="009E679C">
            <w:pPr>
              <w:rPr>
                <w:rFonts w:ascii="Georgia" w:hAnsi="Georgia"/>
                <w:sz w:val="22"/>
                <w:szCs w:val="22"/>
              </w:rPr>
            </w:pPr>
          </w:p>
        </w:tc>
        <w:tc>
          <w:tcPr>
            <w:tcW w:w="4500" w:type="dxa"/>
          </w:tcPr>
          <w:p w14:paraId="4E27BD2C" w14:textId="77777777" w:rsidR="00DA1634" w:rsidRDefault="00DA1634" w:rsidP="009E679C">
            <w:pPr>
              <w:rPr>
                <w:rFonts w:ascii="Georgia" w:hAnsi="Georgia"/>
                <w:sz w:val="22"/>
                <w:szCs w:val="22"/>
              </w:rPr>
            </w:pPr>
          </w:p>
        </w:tc>
      </w:tr>
    </w:tbl>
    <w:p w14:paraId="0AFB3F9D" w14:textId="77777777" w:rsidR="00DA1634" w:rsidRPr="00450CEA" w:rsidRDefault="00DA1634" w:rsidP="009E679C">
      <w:pPr>
        <w:rPr>
          <w:rFonts w:ascii="Georgia" w:hAnsi="Georgia"/>
          <w:sz w:val="22"/>
          <w:szCs w:val="22"/>
        </w:rPr>
      </w:pPr>
    </w:p>
    <w:sectPr w:rsidR="00DA1634" w:rsidRPr="00450CEA" w:rsidSect="00DB1425">
      <w:pgSz w:w="12240" w:h="15840"/>
      <w:pgMar w:top="72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E6"/>
    <w:multiLevelType w:val="hybridMultilevel"/>
    <w:tmpl w:val="61AEA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009095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581245">
    <w:abstractNumId w:val="1"/>
  </w:num>
  <w:num w:numId="3" w16cid:durableId="2027443474">
    <w:abstractNumId w:val="2"/>
  </w:num>
  <w:num w:numId="4" w16cid:durableId="134258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20CC5"/>
    <w:rsid w:val="00020CC7"/>
    <w:rsid w:val="00052648"/>
    <w:rsid w:val="000712B8"/>
    <w:rsid w:val="0007670A"/>
    <w:rsid w:val="00082061"/>
    <w:rsid w:val="000823C3"/>
    <w:rsid w:val="00090875"/>
    <w:rsid w:val="000A0665"/>
    <w:rsid w:val="000C73FB"/>
    <w:rsid w:val="000D731A"/>
    <w:rsid w:val="000E53C2"/>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7E38"/>
    <w:rsid w:val="001E51C0"/>
    <w:rsid w:val="001E594E"/>
    <w:rsid w:val="001F27A2"/>
    <w:rsid w:val="001F509C"/>
    <w:rsid w:val="00210A68"/>
    <w:rsid w:val="002303B7"/>
    <w:rsid w:val="00281C30"/>
    <w:rsid w:val="00295D7A"/>
    <w:rsid w:val="002A27D0"/>
    <w:rsid w:val="002A4A39"/>
    <w:rsid w:val="002C17B2"/>
    <w:rsid w:val="002E4C50"/>
    <w:rsid w:val="002F6D14"/>
    <w:rsid w:val="00311CFF"/>
    <w:rsid w:val="003203D3"/>
    <w:rsid w:val="00325E2C"/>
    <w:rsid w:val="00331D75"/>
    <w:rsid w:val="00337CD7"/>
    <w:rsid w:val="00342A8E"/>
    <w:rsid w:val="00343AD2"/>
    <w:rsid w:val="00345C44"/>
    <w:rsid w:val="00346C52"/>
    <w:rsid w:val="00361F48"/>
    <w:rsid w:val="00384914"/>
    <w:rsid w:val="00395018"/>
    <w:rsid w:val="003C46F0"/>
    <w:rsid w:val="003C593F"/>
    <w:rsid w:val="003D0621"/>
    <w:rsid w:val="003D6180"/>
    <w:rsid w:val="003D72CF"/>
    <w:rsid w:val="003E0508"/>
    <w:rsid w:val="003E457A"/>
    <w:rsid w:val="003E6FB5"/>
    <w:rsid w:val="003E70CC"/>
    <w:rsid w:val="003E7E98"/>
    <w:rsid w:val="003F4FB0"/>
    <w:rsid w:val="00402594"/>
    <w:rsid w:val="00411C07"/>
    <w:rsid w:val="00430629"/>
    <w:rsid w:val="004413B7"/>
    <w:rsid w:val="0044195F"/>
    <w:rsid w:val="00445FE6"/>
    <w:rsid w:val="00450CEA"/>
    <w:rsid w:val="00451857"/>
    <w:rsid w:val="00465423"/>
    <w:rsid w:val="004757C8"/>
    <w:rsid w:val="00494CE9"/>
    <w:rsid w:val="004C526F"/>
    <w:rsid w:val="004D0D9F"/>
    <w:rsid w:val="004E6141"/>
    <w:rsid w:val="004F32F3"/>
    <w:rsid w:val="004F3C0F"/>
    <w:rsid w:val="005055E3"/>
    <w:rsid w:val="00552FAB"/>
    <w:rsid w:val="0056465A"/>
    <w:rsid w:val="00574D8C"/>
    <w:rsid w:val="00576F14"/>
    <w:rsid w:val="005B3875"/>
    <w:rsid w:val="00617C98"/>
    <w:rsid w:val="006268D1"/>
    <w:rsid w:val="0063214A"/>
    <w:rsid w:val="00644869"/>
    <w:rsid w:val="00663F57"/>
    <w:rsid w:val="00675210"/>
    <w:rsid w:val="00677279"/>
    <w:rsid w:val="006845D8"/>
    <w:rsid w:val="006A48E5"/>
    <w:rsid w:val="006A50E1"/>
    <w:rsid w:val="006B23D9"/>
    <w:rsid w:val="006C1683"/>
    <w:rsid w:val="006D2E42"/>
    <w:rsid w:val="006F1090"/>
    <w:rsid w:val="006F52A0"/>
    <w:rsid w:val="0070031D"/>
    <w:rsid w:val="007163D5"/>
    <w:rsid w:val="007200AF"/>
    <w:rsid w:val="00721B0A"/>
    <w:rsid w:val="00737364"/>
    <w:rsid w:val="00737545"/>
    <w:rsid w:val="00740D6E"/>
    <w:rsid w:val="00745E54"/>
    <w:rsid w:val="00762BE9"/>
    <w:rsid w:val="00772660"/>
    <w:rsid w:val="007A2656"/>
    <w:rsid w:val="007A2C60"/>
    <w:rsid w:val="007C2B27"/>
    <w:rsid w:val="007C51DC"/>
    <w:rsid w:val="007C5C3D"/>
    <w:rsid w:val="007E0C94"/>
    <w:rsid w:val="007E6588"/>
    <w:rsid w:val="0081555B"/>
    <w:rsid w:val="00841D43"/>
    <w:rsid w:val="00854BD3"/>
    <w:rsid w:val="00871869"/>
    <w:rsid w:val="00880332"/>
    <w:rsid w:val="00897CDC"/>
    <w:rsid w:val="008C0A6B"/>
    <w:rsid w:val="008C32B8"/>
    <w:rsid w:val="008E183A"/>
    <w:rsid w:val="008F1464"/>
    <w:rsid w:val="00902E05"/>
    <w:rsid w:val="00904527"/>
    <w:rsid w:val="00906C9D"/>
    <w:rsid w:val="009228E7"/>
    <w:rsid w:val="0094774B"/>
    <w:rsid w:val="009626FC"/>
    <w:rsid w:val="00974534"/>
    <w:rsid w:val="009814A4"/>
    <w:rsid w:val="0098295C"/>
    <w:rsid w:val="009847A3"/>
    <w:rsid w:val="009960B2"/>
    <w:rsid w:val="009A314E"/>
    <w:rsid w:val="009A3832"/>
    <w:rsid w:val="009A7E15"/>
    <w:rsid w:val="009B609F"/>
    <w:rsid w:val="009C472F"/>
    <w:rsid w:val="009E2B94"/>
    <w:rsid w:val="009E679C"/>
    <w:rsid w:val="00A077C4"/>
    <w:rsid w:val="00A07AFD"/>
    <w:rsid w:val="00A07B59"/>
    <w:rsid w:val="00A30252"/>
    <w:rsid w:val="00A75C2B"/>
    <w:rsid w:val="00A81ACC"/>
    <w:rsid w:val="00A833F6"/>
    <w:rsid w:val="00A8579F"/>
    <w:rsid w:val="00A96F42"/>
    <w:rsid w:val="00AA15E5"/>
    <w:rsid w:val="00AA1BAA"/>
    <w:rsid w:val="00AA33B4"/>
    <w:rsid w:val="00AA48C7"/>
    <w:rsid w:val="00AA6032"/>
    <w:rsid w:val="00AB0BB2"/>
    <w:rsid w:val="00AB223C"/>
    <w:rsid w:val="00AC44AF"/>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B05B4"/>
    <w:rsid w:val="00BC03D5"/>
    <w:rsid w:val="00BC2606"/>
    <w:rsid w:val="00BC4A58"/>
    <w:rsid w:val="00BC6C12"/>
    <w:rsid w:val="00BD06B8"/>
    <w:rsid w:val="00C104CC"/>
    <w:rsid w:val="00C209C8"/>
    <w:rsid w:val="00C20D57"/>
    <w:rsid w:val="00C25908"/>
    <w:rsid w:val="00C35F2E"/>
    <w:rsid w:val="00C36B06"/>
    <w:rsid w:val="00C55730"/>
    <w:rsid w:val="00C6695A"/>
    <w:rsid w:val="00C92B5B"/>
    <w:rsid w:val="00C97125"/>
    <w:rsid w:val="00CA2256"/>
    <w:rsid w:val="00CB43F0"/>
    <w:rsid w:val="00CC204E"/>
    <w:rsid w:val="00CC325E"/>
    <w:rsid w:val="00CC7BFA"/>
    <w:rsid w:val="00CE3D56"/>
    <w:rsid w:val="00CF0148"/>
    <w:rsid w:val="00D1056C"/>
    <w:rsid w:val="00D14DB1"/>
    <w:rsid w:val="00D15772"/>
    <w:rsid w:val="00D35E7A"/>
    <w:rsid w:val="00D3789F"/>
    <w:rsid w:val="00D40DF9"/>
    <w:rsid w:val="00D50C37"/>
    <w:rsid w:val="00D610C6"/>
    <w:rsid w:val="00D7230B"/>
    <w:rsid w:val="00D8329C"/>
    <w:rsid w:val="00D923EC"/>
    <w:rsid w:val="00DA1634"/>
    <w:rsid w:val="00DA4A9F"/>
    <w:rsid w:val="00DA7262"/>
    <w:rsid w:val="00DB1425"/>
    <w:rsid w:val="00DB2949"/>
    <w:rsid w:val="00DB39F4"/>
    <w:rsid w:val="00DF1E0C"/>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51D1"/>
    <w:rsid w:val="00E87081"/>
    <w:rsid w:val="00E973DF"/>
    <w:rsid w:val="00EB52C1"/>
    <w:rsid w:val="00EC5D56"/>
    <w:rsid w:val="00ED65AC"/>
    <w:rsid w:val="00EE6164"/>
    <w:rsid w:val="00EF3957"/>
    <w:rsid w:val="00F2102D"/>
    <w:rsid w:val="00F333EC"/>
    <w:rsid w:val="00F35746"/>
    <w:rsid w:val="00F50D14"/>
    <w:rsid w:val="00F56A06"/>
    <w:rsid w:val="00F61438"/>
    <w:rsid w:val="00F716F3"/>
    <w:rsid w:val="00F72D41"/>
    <w:rsid w:val="00F75095"/>
    <w:rsid w:val="00F97666"/>
    <w:rsid w:val="00FB3F9A"/>
    <w:rsid w:val="00FC0A98"/>
    <w:rsid w:val="00FD3050"/>
    <w:rsid w:val="00FD484B"/>
    <w:rsid w:val="00FD503C"/>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4232DFA"/>
  <w15:chartTrackingRefBased/>
  <w15:docId w15:val="{DD49AC69-80FF-4813-876F-09DF2FE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2009-05-19T13:12:00Z</cp:lastPrinted>
  <dcterms:created xsi:type="dcterms:W3CDTF">2023-06-05T14:09:00Z</dcterms:created>
  <dcterms:modified xsi:type="dcterms:W3CDTF">2023-06-05T14:09:00Z</dcterms:modified>
</cp:coreProperties>
</file>