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554E" w14:textId="77777777" w:rsidR="0071593A" w:rsidRPr="0071593A" w:rsidRDefault="0071593A" w:rsidP="0071593A">
      <w:pPr>
        <w:spacing w:after="180" w:line="240" w:lineRule="auto"/>
        <w:outlineLvl w:val="2"/>
        <w:rPr>
          <w:rFonts w:ascii="avenir" w:eastAsia="Times New Roman" w:hAnsi="avenir" w:cs="Times New Roman"/>
          <w:b/>
          <w:bCs/>
          <w:color w:val="333333"/>
          <w:sz w:val="27"/>
          <w:szCs w:val="27"/>
        </w:rPr>
      </w:pPr>
      <w:r w:rsidRPr="0071593A">
        <w:rPr>
          <w:rFonts w:ascii="avenir" w:eastAsia="Times New Roman" w:hAnsi="avenir" w:cs="Times New Roman"/>
          <w:b/>
          <w:bCs/>
          <w:noProof/>
          <w:color w:val="333333"/>
          <w:sz w:val="27"/>
          <w:szCs w:val="27"/>
        </w:rPr>
        <w:drawing>
          <wp:inline distT="0" distB="0" distL="0" distR="0" wp14:anchorId="3E7DE4EF" wp14:editId="7EC46B1A">
            <wp:extent cx="7143750" cy="4791075"/>
            <wp:effectExtent l="0" t="0" r="0" b="9525"/>
            <wp:docPr id="1" name="Picture 1" descr="NANC Provisioning Without Uncond 10 Digit 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 Provisioning Without Uncond 10 Digit Trig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791075"/>
                    </a:xfrm>
                    <a:prstGeom prst="rect">
                      <a:avLst/>
                    </a:prstGeom>
                    <a:noFill/>
                    <a:ln>
                      <a:noFill/>
                    </a:ln>
                  </pic:spPr>
                </pic:pic>
              </a:graphicData>
            </a:graphic>
          </wp:inline>
        </w:drawing>
      </w:r>
    </w:p>
    <w:p w14:paraId="5BAD5166" w14:textId="77777777" w:rsidR="0071593A" w:rsidRPr="0071593A" w:rsidRDefault="0071593A" w:rsidP="0071593A">
      <w:pPr>
        <w:spacing w:after="180" w:line="240" w:lineRule="auto"/>
        <w:outlineLvl w:val="2"/>
        <w:rPr>
          <w:rFonts w:ascii="avenir" w:eastAsia="Times New Roman" w:hAnsi="avenir" w:cs="Times New Roman"/>
          <w:b/>
          <w:bCs/>
          <w:color w:val="333333"/>
          <w:sz w:val="27"/>
          <w:szCs w:val="27"/>
        </w:rPr>
      </w:pPr>
      <w:bookmarkStart w:id="0" w:name="eztoc87818_0_0_2"/>
      <w:bookmarkEnd w:id="0"/>
      <w:r w:rsidRPr="0071593A">
        <w:rPr>
          <w:rFonts w:ascii="avenir" w:eastAsia="Times New Roman" w:hAnsi="avenir" w:cs="Times New Roman"/>
          <w:b/>
          <w:bCs/>
          <w:color w:val="333333"/>
          <w:sz w:val="27"/>
          <w:szCs w:val="27"/>
        </w:rPr>
        <w:t>Please note, Steps 1 and 2 ARE worked concurrently</w:t>
      </w:r>
    </w:p>
    <w:p w14:paraId="23189B82"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1" w:name="eztoc87818_0_0_2_1"/>
      <w:bookmarkEnd w:id="1"/>
      <w:r w:rsidRPr="0071593A">
        <w:rPr>
          <w:rFonts w:ascii="avenir" w:eastAsia="Times New Roman" w:hAnsi="avenir" w:cs="Times New Roman"/>
          <w:b/>
          <w:bCs/>
          <w:color w:val="333333"/>
          <w:sz w:val="20"/>
          <w:szCs w:val="20"/>
        </w:rPr>
        <w:t>Step 1: NNSP activates port (locally)</w:t>
      </w:r>
    </w:p>
    <w:p w14:paraId="0212A1D2" w14:textId="0564723B" w:rsidR="0071593A" w:rsidRPr="0071593A" w:rsidRDefault="0071593A" w:rsidP="0071593A">
      <w:pPr>
        <w:numPr>
          <w:ilvl w:val="0"/>
          <w:numId w:val="1"/>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This is the entry point from the Inter-Service Provider LNP Operations Flows – </w:t>
      </w:r>
      <w:hyperlink r:id="rId6" w:tgtFrame="_self" w:tooltip="Main Porting Process" w:history="1">
        <w:r w:rsidRPr="0071593A">
          <w:rPr>
            <w:rFonts w:ascii="avenir" w:eastAsia="Times New Roman" w:hAnsi="avenir" w:cs="Times New Roman"/>
            <w:b/>
            <w:bCs/>
            <w:color w:val="3C5D70"/>
            <w:sz w:val="20"/>
            <w:szCs w:val="20"/>
            <w:u w:val="single"/>
          </w:rPr>
          <w:t>Main Porting Flow, tie point A, Figure 6.</w:t>
        </w:r>
      </w:hyperlink>
    </w:p>
    <w:p w14:paraId="1FD6B5BB" w14:textId="77777777" w:rsidR="0071593A" w:rsidRPr="0071593A" w:rsidRDefault="0071593A" w:rsidP="0071593A">
      <w:pPr>
        <w:numPr>
          <w:ilvl w:val="0"/>
          <w:numId w:val="1"/>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Wireline NNSP activates its own switch translations.</w:t>
      </w:r>
    </w:p>
    <w:p w14:paraId="0B068282" w14:textId="77777777" w:rsidR="0071593A" w:rsidRPr="0071593A" w:rsidRDefault="0071593A" w:rsidP="0071593A">
      <w:pPr>
        <w:numPr>
          <w:ilvl w:val="0"/>
          <w:numId w:val="1"/>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 As an optional step, the Wireless NNSP activates its own switch/HLR configuration including assignment of Mobile Station Identifier (MSID).</w:t>
      </w:r>
    </w:p>
    <w:p w14:paraId="13C968DB" w14:textId="77777777" w:rsidR="0071593A" w:rsidRPr="0071593A" w:rsidRDefault="0071593A" w:rsidP="0071593A">
      <w:pPr>
        <w:spacing w:after="180" w:line="240" w:lineRule="auto"/>
        <w:outlineLvl w:val="2"/>
        <w:rPr>
          <w:rFonts w:ascii="avenir" w:eastAsia="Times New Roman" w:hAnsi="avenir" w:cs="Times New Roman"/>
          <w:b/>
          <w:bCs/>
          <w:color w:val="333333"/>
          <w:sz w:val="27"/>
          <w:szCs w:val="27"/>
        </w:rPr>
      </w:pPr>
      <w:bookmarkStart w:id="2" w:name="eztoc87818_0_0_3"/>
      <w:bookmarkEnd w:id="2"/>
      <w:r w:rsidRPr="0071593A">
        <w:rPr>
          <w:rFonts w:ascii="avenir" w:eastAsia="Times New Roman" w:hAnsi="avenir" w:cs="Times New Roman"/>
          <w:b/>
          <w:bCs/>
          <w:color w:val="333333"/>
          <w:sz w:val="27"/>
          <w:szCs w:val="27"/>
        </w:rPr>
        <w:t>Please note, Steps 2 and 3 MAY be worked concurrently.</w:t>
      </w:r>
    </w:p>
    <w:p w14:paraId="30C852CE"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3" w:name="eztoc87818_0_0_3_2"/>
      <w:bookmarkEnd w:id="3"/>
      <w:r w:rsidRPr="0071593A">
        <w:rPr>
          <w:rFonts w:ascii="avenir" w:eastAsia="Times New Roman" w:hAnsi="avenir" w:cs="Times New Roman"/>
          <w:b/>
          <w:bCs/>
          <w:color w:val="333333"/>
          <w:sz w:val="20"/>
          <w:szCs w:val="20"/>
        </w:rPr>
        <w:t>Step 2:  NNSP and ONSP make physical changes (where necessary)</w:t>
      </w:r>
    </w:p>
    <w:p w14:paraId="101D79FD" w14:textId="77777777" w:rsidR="0071593A" w:rsidRPr="0071593A" w:rsidRDefault="0071593A" w:rsidP="0071593A">
      <w:pPr>
        <w:numPr>
          <w:ilvl w:val="0"/>
          <w:numId w:val="2"/>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Wireline physical changes may or may not be coordinated.  Coordinated physical changes are based on inter-connection agreements between the involved service providers.</w:t>
      </w:r>
    </w:p>
    <w:p w14:paraId="55DD8785" w14:textId="77777777" w:rsidR="0071593A" w:rsidRPr="0071593A" w:rsidRDefault="0071593A" w:rsidP="0071593A">
      <w:pPr>
        <w:numPr>
          <w:ilvl w:val="0"/>
          <w:numId w:val="2"/>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Mobile Station (handset) changes are completed.</w:t>
      </w:r>
    </w:p>
    <w:p w14:paraId="2EA4E464" w14:textId="77777777" w:rsidR="0071593A" w:rsidRPr="0071593A" w:rsidRDefault="0071593A" w:rsidP="0071593A">
      <w:pPr>
        <w:numPr>
          <w:ilvl w:val="0"/>
          <w:numId w:val="2"/>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 The NNSP is now providing dial tone to ported end user.</w:t>
      </w:r>
    </w:p>
    <w:p w14:paraId="06DA9976"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4" w:name="eztoc87818_0_0_3_3"/>
      <w:bookmarkEnd w:id="4"/>
      <w:r w:rsidRPr="0071593A">
        <w:rPr>
          <w:rFonts w:ascii="avenir" w:eastAsia="Times New Roman" w:hAnsi="avenir" w:cs="Times New Roman"/>
          <w:b/>
          <w:bCs/>
          <w:color w:val="333333"/>
          <w:sz w:val="20"/>
          <w:szCs w:val="20"/>
        </w:rPr>
        <w:lastRenderedPageBreak/>
        <w:t>Step 3:  NNSP notifies NPAC to activate the port</w:t>
      </w:r>
    </w:p>
    <w:p w14:paraId="0B3E0223" w14:textId="77777777" w:rsidR="0071593A" w:rsidRPr="0071593A" w:rsidRDefault="0071593A" w:rsidP="0071593A">
      <w:pPr>
        <w:numPr>
          <w:ilvl w:val="0"/>
          <w:numId w:val="3"/>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NNSP sends an activate message to the NPAC via the SOA interface.</w:t>
      </w:r>
    </w:p>
    <w:p w14:paraId="64E4AA04" w14:textId="77777777" w:rsidR="0071593A" w:rsidRPr="0071593A" w:rsidRDefault="0071593A" w:rsidP="0071593A">
      <w:pPr>
        <w:numPr>
          <w:ilvl w:val="0"/>
          <w:numId w:val="3"/>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No NPAC SV may activate before the FOC due date/time.  Unless otherwise agreed to between both porting parties (ONSP and NNSP) the SV Due Date is the FOC due date agreed upon between the ONSP and NNSP.</w:t>
      </w:r>
    </w:p>
    <w:p w14:paraId="335B4939" w14:textId="77777777" w:rsidR="0071593A" w:rsidRPr="0071593A" w:rsidRDefault="0071593A" w:rsidP="0071593A">
      <w:pPr>
        <w:numPr>
          <w:ilvl w:val="0"/>
          <w:numId w:val="3"/>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If not done in step 1 above, the Wireless NNSP activates its own switch/HLR configuration including assignment of Mobile Station Identifier (MSID).</w:t>
      </w:r>
    </w:p>
    <w:p w14:paraId="5014ED84" w14:textId="77777777" w:rsidR="0071593A" w:rsidRPr="0071593A" w:rsidRDefault="0071593A" w:rsidP="0071593A">
      <w:pPr>
        <w:spacing w:after="180" w:line="240" w:lineRule="auto"/>
        <w:outlineLvl w:val="2"/>
        <w:rPr>
          <w:rFonts w:ascii="avenir" w:eastAsia="Times New Roman" w:hAnsi="avenir" w:cs="Times New Roman"/>
          <w:b/>
          <w:bCs/>
          <w:color w:val="333333"/>
          <w:sz w:val="27"/>
          <w:szCs w:val="27"/>
        </w:rPr>
      </w:pPr>
      <w:bookmarkStart w:id="5" w:name="eztoc87818_0_0_4"/>
      <w:bookmarkEnd w:id="5"/>
      <w:r w:rsidRPr="0071593A">
        <w:rPr>
          <w:rFonts w:ascii="avenir" w:eastAsia="Times New Roman" w:hAnsi="avenir" w:cs="Times New Roman"/>
          <w:b/>
          <w:bCs/>
          <w:color w:val="333333"/>
          <w:sz w:val="27"/>
          <w:szCs w:val="27"/>
        </w:rPr>
        <w:t>Please note, Steps 4, 5, 6, and 7 may be concurrent, but at a minimum should be completed ASAP.</w:t>
      </w:r>
    </w:p>
    <w:p w14:paraId="4DE8CAAD"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6" w:name="eztoc87818_0_0_4_4"/>
      <w:bookmarkEnd w:id="6"/>
      <w:r w:rsidRPr="0071593A">
        <w:rPr>
          <w:rFonts w:ascii="avenir" w:eastAsia="Times New Roman" w:hAnsi="avenir" w:cs="Times New Roman"/>
          <w:b/>
          <w:bCs/>
          <w:color w:val="333333"/>
          <w:sz w:val="20"/>
          <w:szCs w:val="20"/>
        </w:rPr>
        <w:t>Step 4:  NPAC downloads (real time) to all service providers</w:t>
      </w:r>
    </w:p>
    <w:p w14:paraId="76B433FF" w14:textId="77777777" w:rsidR="0071593A" w:rsidRPr="0071593A" w:rsidRDefault="0071593A" w:rsidP="0071593A">
      <w:pPr>
        <w:numPr>
          <w:ilvl w:val="0"/>
          <w:numId w:val="4"/>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NPAC broadcasts new SV data to all SP LSMSs in the serving area in accordance with the NANC FRS and NANC IIS.  The Service Control Point (SCP) Applications and Global Title Translations (GTT) Function for Number Portability requirements are defined by T1S1.6.</w:t>
      </w:r>
    </w:p>
    <w:p w14:paraId="7A3BC614"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7" w:name="eztoc87818_0_0_4_5"/>
      <w:bookmarkEnd w:id="7"/>
      <w:r w:rsidRPr="0071593A">
        <w:rPr>
          <w:rFonts w:ascii="avenir" w:eastAsia="Times New Roman" w:hAnsi="avenir" w:cs="Times New Roman"/>
          <w:b/>
          <w:bCs/>
          <w:color w:val="333333"/>
          <w:sz w:val="20"/>
          <w:szCs w:val="20"/>
        </w:rPr>
        <w:t>Step 5:  NPAC records date and time in history file</w:t>
      </w:r>
    </w:p>
    <w:p w14:paraId="622AE4A0" w14:textId="77777777" w:rsidR="0071593A" w:rsidRPr="0071593A" w:rsidRDefault="0071593A" w:rsidP="0071593A">
      <w:pPr>
        <w:numPr>
          <w:ilvl w:val="0"/>
          <w:numId w:val="5"/>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NPAC records the current date and time as the Activation Date and Time stamp, at the start of the broadcast.  The Activation Complete Timestamp is based on the first LSMS that successfully acknowledged receipt of new SV.</w:t>
      </w:r>
    </w:p>
    <w:p w14:paraId="2291B59A"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8" w:name="eztoc87818_0_0_4_6"/>
      <w:bookmarkEnd w:id="8"/>
      <w:r w:rsidRPr="0071593A">
        <w:rPr>
          <w:rFonts w:ascii="avenir" w:eastAsia="Times New Roman" w:hAnsi="avenir" w:cs="Times New Roman"/>
          <w:b/>
          <w:bCs/>
          <w:color w:val="333333"/>
          <w:sz w:val="20"/>
          <w:szCs w:val="20"/>
        </w:rPr>
        <w:t>Step 6:  ONSP removes translations in the switch/HLR</w:t>
      </w:r>
    </w:p>
    <w:p w14:paraId="4AF0A8DD" w14:textId="77777777" w:rsidR="0071593A" w:rsidRPr="0071593A" w:rsidRDefault="0071593A" w:rsidP="0071593A">
      <w:pPr>
        <w:numPr>
          <w:ilvl w:val="0"/>
          <w:numId w:val="6"/>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Wireline ONSP initiates the removal of translations either at designated Due Date and Time, or if the order was designated as coordinated, upon receipt of a call from the NNSP.</w:t>
      </w:r>
    </w:p>
    <w:p w14:paraId="0D8B10E9" w14:textId="77777777" w:rsidR="0071593A" w:rsidRPr="0071593A" w:rsidRDefault="0071593A" w:rsidP="0071593A">
      <w:pPr>
        <w:numPr>
          <w:ilvl w:val="0"/>
          <w:numId w:val="6"/>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Wireless ONSP initiates the removal of the subscriber record from the switch/HLR after the activation of the port.</w:t>
      </w:r>
    </w:p>
    <w:p w14:paraId="2B148054" w14:textId="77777777" w:rsidR="0071593A" w:rsidRPr="0071593A" w:rsidRDefault="0071593A" w:rsidP="0071593A">
      <w:pPr>
        <w:numPr>
          <w:ilvl w:val="0"/>
          <w:numId w:val="6"/>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 It is necessary for the OLSP to terminate the End User’s service for the ported TN(s) after the port is completed.</w:t>
      </w:r>
    </w:p>
    <w:p w14:paraId="4C8BED82"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9" w:name="eztoc87818_0_0_4_7"/>
      <w:bookmarkEnd w:id="9"/>
      <w:r w:rsidRPr="0071593A">
        <w:rPr>
          <w:rFonts w:ascii="avenir" w:eastAsia="Times New Roman" w:hAnsi="avenir" w:cs="Times New Roman"/>
          <w:b/>
          <w:bCs/>
          <w:color w:val="333333"/>
          <w:sz w:val="20"/>
          <w:szCs w:val="20"/>
        </w:rPr>
        <w:t>Step 7:  NPAC logs failures and non-responses and notifies the NNSP and ONSP</w:t>
      </w:r>
    </w:p>
    <w:p w14:paraId="2F2369A5" w14:textId="77777777" w:rsidR="0071593A" w:rsidRPr="0071593A" w:rsidRDefault="0071593A" w:rsidP="0071593A">
      <w:pPr>
        <w:numPr>
          <w:ilvl w:val="0"/>
          <w:numId w:val="7"/>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p w14:paraId="7C98BB79"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10" w:name="eztoc87818_0_0_4_8"/>
      <w:bookmarkEnd w:id="10"/>
      <w:r w:rsidRPr="0071593A">
        <w:rPr>
          <w:rFonts w:ascii="avenir" w:eastAsia="Times New Roman" w:hAnsi="avenir" w:cs="Times New Roman"/>
          <w:b/>
          <w:bCs/>
          <w:color w:val="333333"/>
          <w:sz w:val="20"/>
          <w:szCs w:val="20"/>
        </w:rPr>
        <w:t>Step 8:  All service providers update routing databases (real time download)</w:t>
      </w:r>
    </w:p>
    <w:p w14:paraId="0A5D1DAD" w14:textId="77777777" w:rsidR="0071593A" w:rsidRPr="0071593A" w:rsidRDefault="0071593A" w:rsidP="0071593A">
      <w:pPr>
        <w:numPr>
          <w:ilvl w:val="0"/>
          <w:numId w:val="8"/>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This is an internal process and is performed in accordance with the Service Control Point (SCP) Applications and GTT Function for Number Portability requirements as defined by ATIS T1S1.6 (within 15 minutes).</w:t>
      </w:r>
    </w:p>
    <w:p w14:paraId="31482E1F"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11" w:name="eztoc87818_0_0_4_9"/>
      <w:bookmarkEnd w:id="11"/>
      <w:r w:rsidRPr="0071593A">
        <w:rPr>
          <w:rFonts w:ascii="avenir" w:eastAsia="Times New Roman" w:hAnsi="avenir" w:cs="Times New Roman"/>
          <w:b/>
          <w:bCs/>
          <w:color w:val="333333"/>
          <w:sz w:val="20"/>
          <w:szCs w:val="20"/>
        </w:rPr>
        <w:t>Step 9:  NNSP may verify completion</w:t>
      </w:r>
    </w:p>
    <w:p w14:paraId="391E1E8C" w14:textId="77777777" w:rsidR="0071593A" w:rsidRPr="0071593A" w:rsidRDefault="0071593A" w:rsidP="0071593A">
      <w:pPr>
        <w:numPr>
          <w:ilvl w:val="0"/>
          <w:numId w:val="9"/>
        </w:numPr>
        <w:spacing w:after="60" w:line="270" w:lineRule="atLeast"/>
        <w:ind w:left="300"/>
        <w:rPr>
          <w:rFonts w:ascii="avenir" w:eastAsia="Times New Roman" w:hAnsi="avenir" w:cs="Times New Roman"/>
          <w:color w:val="333333"/>
          <w:sz w:val="20"/>
          <w:szCs w:val="20"/>
        </w:rPr>
      </w:pPr>
      <w:r w:rsidRPr="0071593A">
        <w:rPr>
          <w:rFonts w:ascii="avenir" w:eastAsia="Times New Roman" w:hAnsi="avenir" w:cs="Times New Roman"/>
          <w:color w:val="333333"/>
          <w:sz w:val="20"/>
          <w:szCs w:val="20"/>
        </w:rPr>
        <w:t>The NNSP may make test calls to verify that calls to ported numbers complete as expected.</w:t>
      </w:r>
    </w:p>
    <w:p w14:paraId="5386BF0B" w14:textId="77777777" w:rsidR="0071593A" w:rsidRPr="0071593A" w:rsidRDefault="0071593A" w:rsidP="0071593A">
      <w:pPr>
        <w:spacing w:before="280" w:after="180" w:line="330" w:lineRule="atLeast"/>
        <w:outlineLvl w:val="3"/>
        <w:rPr>
          <w:rFonts w:ascii="avenir" w:eastAsia="Times New Roman" w:hAnsi="avenir" w:cs="Times New Roman"/>
          <w:b/>
          <w:bCs/>
          <w:color w:val="333333"/>
          <w:sz w:val="20"/>
          <w:szCs w:val="20"/>
        </w:rPr>
      </w:pPr>
      <w:bookmarkStart w:id="12" w:name="eztoc87818_0_0_4_10"/>
      <w:bookmarkEnd w:id="12"/>
      <w:r w:rsidRPr="0071593A">
        <w:rPr>
          <w:rFonts w:ascii="avenir" w:eastAsia="Times New Roman" w:hAnsi="avenir" w:cs="Times New Roman"/>
          <w:b/>
          <w:bCs/>
          <w:color w:val="333333"/>
          <w:sz w:val="20"/>
          <w:szCs w:val="20"/>
        </w:rPr>
        <w:lastRenderedPageBreak/>
        <w:t>Step 10:  End</w:t>
      </w:r>
    </w:p>
    <w:p w14:paraId="735BEF32" w14:textId="5F3D7879" w:rsidR="0071593A" w:rsidRPr="0071593A" w:rsidRDefault="00885BE9" w:rsidP="0071593A">
      <w:pPr>
        <w:numPr>
          <w:ilvl w:val="0"/>
          <w:numId w:val="10"/>
        </w:numPr>
        <w:spacing w:after="60" w:line="270" w:lineRule="atLeast"/>
        <w:ind w:left="300"/>
        <w:rPr>
          <w:rFonts w:ascii="avenir" w:eastAsia="Times New Roman" w:hAnsi="avenir" w:cs="Times New Roman"/>
          <w:color w:val="333333"/>
          <w:sz w:val="20"/>
          <w:szCs w:val="20"/>
        </w:rPr>
      </w:pPr>
      <w:hyperlink r:id="rId7" w:tgtFrame="_self" w:tooltip="Main Porting Process" w:history="1">
        <w:r w:rsidR="0071593A" w:rsidRPr="0071593A">
          <w:rPr>
            <w:rFonts w:ascii="avenir" w:eastAsia="Times New Roman" w:hAnsi="avenir" w:cs="Times New Roman"/>
            <w:b/>
            <w:bCs/>
            <w:color w:val="3C5D70"/>
            <w:sz w:val="20"/>
            <w:szCs w:val="20"/>
            <w:u w:val="single"/>
          </w:rPr>
          <w:t>Return to Main Porting Flow, tie point Z, Figure 6.</w:t>
        </w:r>
      </w:hyperlink>
    </w:p>
    <w:p w14:paraId="28F44814" w14:textId="77777777" w:rsidR="00215769" w:rsidRDefault="00885BE9"/>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10"/>
    <w:multiLevelType w:val="multilevel"/>
    <w:tmpl w:val="D65E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00F11"/>
    <w:multiLevelType w:val="multilevel"/>
    <w:tmpl w:val="64B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D7C35"/>
    <w:multiLevelType w:val="multilevel"/>
    <w:tmpl w:val="A10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655FB"/>
    <w:multiLevelType w:val="multilevel"/>
    <w:tmpl w:val="B0F0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110CE"/>
    <w:multiLevelType w:val="multilevel"/>
    <w:tmpl w:val="D5E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03169"/>
    <w:multiLevelType w:val="multilevel"/>
    <w:tmpl w:val="7E9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87C14"/>
    <w:multiLevelType w:val="multilevel"/>
    <w:tmpl w:val="BA54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C601C"/>
    <w:multiLevelType w:val="multilevel"/>
    <w:tmpl w:val="B33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02212"/>
    <w:multiLevelType w:val="multilevel"/>
    <w:tmpl w:val="6C1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31C20"/>
    <w:multiLevelType w:val="multilevel"/>
    <w:tmpl w:val="7A7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928486">
    <w:abstractNumId w:val="9"/>
  </w:num>
  <w:num w:numId="2" w16cid:durableId="674890703">
    <w:abstractNumId w:val="8"/>
  </w:num>
  <w:num w:numId="3" w16cid:durableId="35929466">
    <w:abstractNumId w:val="1"/>
  </w:num>
  <w:num w:numId="4" w16cid:durableId="212426493">
    <w:abstractNumId w:val="7"/>
  </w:num>
  <w:num w:numId="5" w16cid:durableId="251016036">
    <w:abstractNumId w:val="2"/>
  </w:num>
  <w:num w:numId="6" w16cid:durableId="38870636">
    <w:abstractNumId w:val="5"/>
  </w:num>
  <w:num w:numId="7" w16cid:durableId="1845245603">
    <w:abstractNumId w:val="3"/>
  </w:num>
  <w:num w:numId="8" w16cid:durableId="641345782">
    <w:abstractNumId w:val="4"/>
  </w:num>
  <w:num w:numId="9" w16cid:durableId="2097163017">
    <w:abstractNumId w:val="6"/>
  </w:num>
  <w:num w:numId="10" w16cid:durableId="201610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3A"/>
    <w:rsid w:val="000A35FA"/>
    <w:rsid w:val="00124C7F"/>
    <w:rsid w:val="0071593A"/>
    <w:rsid w:val="007E48E8"/>
    <w:rsid w:val="0088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8CF6"/>
  <w15:chartTrackingRefBased/>
  <w15:docId w15:val="{9CA852A9-B635-40C0-A517-FB5AA67B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5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5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593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0413">
      <w:bodyDiv w:val="1"/>
      <w:marLeft w:val="0"/>
      <w:marRight w:val="0"/>
      <w:marTop w:val="0"/>
      <w:marBottom w:val="0"/>
      <w:divBdr>
        <w:top w:val="none" w:sz="0" w:space="0" w:color="auto"/>
        <w:left w:val="none" w:sz="0" w:space="0" w:color="auto"/>
        <w:bottom w:val="none" w:sz="0" w:space="0" w:color="auto"/>
        <w:right w:val="none" w:sz="0" w:space="0" w:color="auto"/>
      </w:divBdr>
      <w:divsChild>
        <w:div w:id="1410738104">
          <w:marLeft w:val="0"/>
          <w:marRight w:val="0"/>
          <w:marTop w:val="0"/>
          <w:marBottom w:val="0"/>
          <w:divBdr>
            <w:top w:val="none" w:sz="0" w:space="0" w:color="auto"/>
            <w:left w:val="none" w:sz="0" w:space="0" w:color="auto"/>
            <w:bottom w:val="none" w:sz="0" w:space="0" w:color="auto"/>
            <w:right w:val="none" w:sz="0" w:space="0" w:color="auto"/>
          </w:divBdr>
          <w:divsChild>
            <w:div w:id="764233698">
              <w:marLeft w:val="0"/>
              <w:marRight w:val="0"/>
              <w:marTop w:val="0"/>
              <w:marBottom w:val="0"/>
              <w:divBdr>
                <w:top w:val="none" w:sz="0" w:space="0" w:color="auto"/>
                <w:left w:val="none" w:sz="0" w:space="0" w:color="auto"/>
                <w:bottom w:val="none" w:sz="0" w:space="0" w:color="auto"/>
                <w:right w:val="none" w:sz="0" w:space="0" w:color="auto"/>
              </w:divBdr>
              <w:divsChild>
                <w:div w:id="1499922526">
                  <w:marLeft w:val="0"/>
                  <w:marRight w:val="0"/>
                  <w:marTop w:val="0"/>
                  <w:marBottom w:val="0"/>
                  <w:divBdr>
                    <w:top w:val="none" w:sz="0" w:space="0" w:color="auto"/>
                    <w:left w:val="none" w:sz="0" w:space="0" w:color="auto"/>
                    <w:bottom w:val="none" w:sz="0" w:space="0" w:color="auto"/>
                    <w:right w:val="none" w:sz="0" w:space="0" w:color="auto"/>
                  </w:divBdr>
                  <w:divsChild>
                    <w:div w:id="1196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inggroup.numberportability.com/documents/main-porting-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main-porting-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3</cp:revision>
  <dcterms:created xsi:type="dcterms:W3CDTF">2023-06-20T13:48:00Z</dcterms:created>
  <dcterms:modified xsi:type="dcterms:W3CDTF">2023-06-20T13:50:00Z</dcterms:modified>
</cp:coreProperties>
</file>