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520"/>
        <w:gridCol w:w="1260"/>
        <w:gridCol w:w="990"/>
        <w:gridCol w:w="900"/>
        <w:gridCol w:w="2610"/>
      </w:tblGrid>
      <w:tr w:rsidR="00440B6B" w14:paraId="3FCDB858" w14:textId="77777777" w:rsidTr="008A511C">
        <w:tblPrEx>
          <w:tblCellMar>
            <w:top w:w="0" w:type="dxa"/>
            <w:bottom w:w="0" w:type="dxa"/>
          </w:tblCellMar>
        </w:tblPrEx>
        <w:trPr>
          <w:gridAfter w:val="1"/>
          <w:wAfter w:w="2610" w:type="dxa"/>
          <w:trHeight w:val="360"/>
        </w:trPr>
        <w:tc>
          <w:tcPr>
            <w:tcW w:w="1908" w:type="dxa"/>
          </w:tcPr>
          <w:p w14:paraId="413D8EA8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Prepared </w:t>
            </w:r>
            <w:proofErr w:type="gramStart"/>
            <w:r>
              <w:rPr>
                <w:rFonts w:ascii="Arial" w:hAnsi="Arial"/>
                <w:b/>
              </w:rPr>
              <w:t>By :</w:t>
            </w:r>
            <w:proofErr w:type="gramEnd"/>
          </w:p>
        </w:tc>
        <w:tc>
          <w:tcPr>
            <w:tcW w:w="2520" w:type="dxa"/>
          </w:tcPr>
          <w:p w14:paraId="719698AC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1260" w:type="dxa"/>
          </w:tcPr>
          <w:p w14:paraId="396BEFED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#:</w:t>
            </w:r>
          </w:p>
        </w:tc>
        <w:tc>
          <w:tcPr>
            <w:tcW w:w="1890" w:type="dxa"/>
            <w:gridSpan w:val="2"/>
          </w:tcPr>
          <w:p w14:paraId="7CE0313C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206-384-1669</w:t>
            </w:r>
          </w:p>
        </w:tc>
      </w:tr>
      <w:tr w:rsidR="00440B6B" w14:paraId="2BBF7F0A" w14:textId="77777777" w:rsidTr="00C62FC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08" w:type="dxa"/>
          </w:tcPr>
          <w:p w14:paraId="5225D106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Created:</w:t>
            </w:r>
          </w:p>
        </w:tc>
        <w:tc>
          <w:tcPr>
            <w:tcW w:w="2520" w:type="dxa"/>
          </w:tcPr>
          <w:p w14:paraId="0FD0B0D8" w14:textId="77777777" w:rsidR="00440B6B" w:rsidRDefault="00AB1B5D" w:rsidP="0070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  <w:r w:rsidR="008A367C">
              <w:rPr>
                <w:rFonts w:ascii="Arial" w:hAnsi="Arial"/>
              </w:rPr>
              <w:t>/</w:t>
            </w:r>
            <w:r w:rsidR="00706B2C">
              <w:rPr>
                <w:rFonts w:ascii="Arial" w:hAnsi="Arial"/>
              </w:rPr>
              <w:t>01</w:t>
            </w:r>
            <w:r w:rsidR="009C43E6">
              <w:rPr>
                <w:rFonts w:ascii="Arial" w:hAnsi="Arial"/>
              </w:rPr>
              <w:t>/</w:t>
            </w:r>
            <w:r w:rsidR="00A14246">
              <w:rPr>
                <w:rFonts w:ascii="Arial" w:hAnsi="Arial"/>
              </w:rPr>
              <w:t>2010</w:t>
            </w:r>
          </w:p>
        </w:tc>
        <w:tc>
          <w:tcPr>
            <w:tcW w:w="2250" w:type="dxa"/>
            <w:gridSpan w:val="2"/>
          </w:tcPr>
          <w:p w14:paraId="541D03E4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10" w:type="dxa"/>
            <w:gridSpan w:val="2"/>
          </w:tcPr>
          <w:p w14:paraId="782B2F38" w14:textId="77777777" w:rsidR="00440B6B" w:rsidRDefault="00440B6B">
            <w:pPr>
              <w:rPr>
                <w:rFonts w:ascii="Arial" w:hAnsi="Arial"/>
              </w:rPr>
            </w:pPr>
          </w:p>
        </w:tc>
      </w:tr>
      <w:tr w:rsidR="00440B6B" w14:paraId="71B03F68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6C797AAC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By:</w:t>
            </w:r>
          </w:p>
        </w:tc>
        <w:tc>
          <w:tcPr>
            <w:tcW w:w="2520" w:type="dxa"/>
          </w:tcPr>
          <w:p w14:paraId="0B6402BC" w14:textId="77777777" w:rsidR="00440B6B" w:rsidRDefault="009C43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2250" w:type="dxa"/>
            <w:gridSpan w:val="2"/>
          </w:tcPr>
          <w:p w14:paraId="16C9AFA8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Date:</w:t>
            </w:r>
          </w:p>
        </w:tc>
        <w:tc>
          <w:tcPr>
            <w:tcW w:w="3509" w:type="dxa"/>
            <w:gridSpan w:val="2"/>
          </w:tcPr>
          <w:p w14:paraId="52646CD6" w14:textId="77777777" w:rsidR="00440B6B" w:rsidRDefault="00AB1B5D" w:rsidP="0070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  <w:r w:rsidR="004D59DB">
              <w:rPr>
                <w:rFonts w:ascii="Arial" w:hAnsi="Arial"/>
              </w:rPr>
              <w:t>/</w:t>
            </w:r>
            <w:r w:rsidR="00706B2C">
              <w:rPr>
                <w:rFonts w:ascii="Arial" w:hAnsi="Arial"/>
              </w:rPr>
              <w:t>01</w:t>
            </w:r>
            <w:r w:rsidR="009C43E6">
              <w:rPr>
                <w:rFonts w:ascii="Arial" w:hAnsi="Arial"/>
              </w:rPr>
              <w:t>/</w:t>
            </w:r>
            <w:r w:rsidR="00A14246">
              <w:rPr>
                <w:rFonts w:ascii="Arial" w:hAnsi="Arial"/>
              </w:rPr>
              <w:t>2010</w:t>
            </w:r>
          </w:p>
        </w:tc>
      </w:tr>
      <w:tr w:rsidR="00440B6B" w14:paraId="25CF2232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bottom w:val="double" w:sz="6" w:space="0" w:color="auto"/>
            </w:tcBorders>
          </w:tcPr>
          <w:p w14:paraId="117D67AE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</w:tcPr>
          <w:p w14:paraId="12FF2B19" w14:textId="77777777"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bottom w:val="double" w:sz="6" w:space="0" w:color="auto"/>
            </w:tcBorders>
          </w:tcPr>
          <w:p w14:paraId="622509FD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09" w:type="dxa"/>
            <w:gridSpan w:val="2"/>
            <w:tcBorders>
              <w:bottom w:val="double" w:sz="6" w:space="0" w:color="auto"/>
            </w:tcBorders>
          </w:tcPr>
          <w:p w14:paraId="41FD19AF" w14:textId="77777777" w:rsidR="00440B6B" w:rsidRDefault="00440B6B">
            <w:pPr>
              <w:rPr>
                <w:rFonts w:ascii="Arial" w:hAnsi="Arial"/>
              </w:rPr>
            </w:pPr>
          </w:p>
        </w:tc>
      </w:tr>
    </w:tbl>
    <w:p w14:paraId="165FA6EB" w14:textId="77777777" w:rsidR="00440B6B" w:rsidRDefault="00440B6B">
      <w:pPr>
        <w:rPr>
          <w:sz w:val="6"/>
        </w:rPr>
      </w:pPr>
    </w:p>
    <w:p w14:paraId="6E93352C" w14:textId="77777777" w:rsidR="00440B6B" w:rsidRDefault="00440B6B">
      <w:pPr>
        <w:rPr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2700"/>
        <w:gridCol w:w="180"/>
        <w:gridCol w:w="1350"/>
        <w:gridCol w:w="630"/>
        <w:gridCol w:w="2898"/>
      </w:tblGrid>
      <w:tr w:rsidR="00440B6B" w14:paraId="68B965C5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206BD4D8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Title:</w:t>
            </w:r>
          </w:p>
        </w:tc>
        <w:tc>
          <w:tcPr>
            <w:tcW w:w="7758" w:type="dxa"/>
            <w:gridSpan w:val="5"/>
          </w:tcPr>
          <w:p w14:paraId="63D11FAF" w14:textId="77777777" w:rsidR="00440B6B" w:rsidRPr="00F252DD" w:rsidRDefault="00C10225">
            <w:pPr>
              <w:spacing w:before="120" w:after="6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Inter-carrier Testing Committee MEETING MINUTES</w:t>
            </w:r>
          </w:p>
        </w:tc>
      </w:tr>
      <w:tr w:rsidR="00440B6B" w14:paraId="0C5660F7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2B8237AB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Date:</w:t>
            </w:r>
          </w:p>
        </w:tc>
        <w:tc>
          <w:tcPr>
            <w:tcW w:w="2700" w:type="dxa"/>
          </w:tcPr>
          <w:p w14:paraId="3D9E73B0" w14:textId="77777777" w:rsidR="00440B6B" w:rsidRDefault="00AB1B5D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03/30</w:t>
            </w:r>
            <w:r w:rsidR="009C43E6">
              <w:rPr>
                <w:rFonts w:ascii="Arial" w:hAnsi="Arial"/>
              </w:rPr>
              <w:t>/200</w:t>
            </w:r>
            <w:r w:rsidR="00C62FC3">
              <w:rPr>
                <w:rFonts w:ascii="Arial" w:hAnsi="Arial"/>
              </w:rPr>
              <w:t>8</w:t>
            </w:r>
          </w:p>
        </w:tc>
        <w:tc>
          <w:tcPr>
            <w:tcW w:w="2160" w:type="dxa"/>
            <w:gridSpan w:val="3"/>
          </w:tcPr>
          <w:p w14:paraId="02C8F53E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Next Meeting Date:</w:t>
            </w:r>
          </w:p>
        </w:tc>
        <w:tc>
          <w:tcPr>
            <w:tcW w:w="2898" w:type="dxa"/>
          </w:tcPr>
          <w:p w14:paraId="7274F7E1" w14:textId="77777777" w:rsidR="00440B6B" w:rsidRDefault="00706B2C" w:rsidP="00AD4B7F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AB1B5D">
              <w:rPr>
                <w:rFonts w:ascii="Arial" w:hAnsi="Arial"/>
              </w:rPr>
              <w:t>4/01</w:t>
            </w:r>
            <w:r w:rsidR="009E5797">
              <w:rPr>
                <w:rFonts w:ascii="Arial" w:hAnsi="Arial"/>
              </w:rPr>
              <w:t>/</w:t>
            </w:r>
            <w:r w:rsidR="00A14246">
              <w:rPr>
                <w:rFonts w:ascii="Arial" w:hAnsi="Arial"/>
              </w:rPr>
              <w:t>2010</w:t>
            </w:r>
          </w:p>
        </w:tc>
      </w:tr>
      <w:tr w:rsidR="00440B6B" w14:paraId="27816238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68D28F43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Attendees:</w:t>
            </w:r>
            <w:r w:rsidR="009E5797">
              <w:rPr>
                <w:rFonts w:ascii="Arial" w:hAnsi="Arial"/>
              </w:rPr>
              <w:t xml:space="preserve"> </w:t>
            </w:r>
          </w:p>
        </w:tc>
        <w:tc>
          <w:tcPr>
            <w:tcW w:w="7758" w:type="dxa"/>
            <w:gridSpan w:val="5"/>
          </w:tcPr>
          <w:p w14:paraId="70CEEBA2" w14:textId="77777777" w:rsidR="00FA772F" w:rsidRPr="00FA772F" w:rsidRDefault="00FA772F" w:rsidP="00FA772F">
            <w:pPr>
              <w:spacing w:before="120" w:after="60"/>
              <w:rPr>
                <w:rFonts w:ascii="Arial" w:hAnsi="Arial"/>
              </w:rPr>
            </w:pPr>
            <w:r w:rsidRPr="00FA772F">
              <w:rPr>
                <w:rFonts w:ascii="Arial" w:hAnsi="Arial"/>
              </w:rPr>
              <w:t>Dawn Lawrence</w:t>
            </w:r>
            <w:r>
              <w:rPr>
                <w:rFonts w:ascii="Arial" w:hAnsi="Arial"/>
              </w:rPr>
              <w:t xml:space="preserve">, </w:t>
            </w:r>
            <w:r w:rsidRPr="00FA772F">
              <w:rPr>
                <w:rFonts w:ascii="Arial" w:hAnsi="Arial"/>
              </w:rPr>
              <w:t>Deb Tucker</w:t>
            </w:r>
            <w:r>
              <w:rPr>
                <w:rFonts w:ascii="Arial" w:hAnsi="Arial"/>
              </w:rPr>
              <w:t xml:space="preserve">, </w:t>
            </w:r>
            <w:r w:rsidRPr="00FA772F">
              <w:rPr>
                <w:rFonts w:ascii="Arial" w:hAnsi="Arial"/>
              </w:rPr>
              <w:t>Jan Doell</w:t>
            </w:r>
            <w:r>
              <w:rPr>
                <w:rFonts w:ascii="Arial" w:hAnsi="Arial"/>
              </w:rPr>
              <w:t xml:space="preserve">, </w:t>
            </w:r>
            <w:r w:rsidRPr="00FA772F">
              <w:rPr>
                <w:rFonts w:ascii="Arial" w:hAnsi="Arial"/>
              </w:rPr>
              <w:t>Lonnie Keck</w:t>
            </w:r>
            <w:r>
              <w:rPr>
                <w:rFonts w:ascii="Arial" w:hAnsi="Arial"/>
              </w:rPr>
              <w:t xml:space="preserve">, </w:t>
            </w:r>
            <w:r w:rsidRPr="00FA772F">
              <w:rPr>
                <w:rFonts w:ascii="Arial" w:hAnsi="Arial"/>
              </w:rPr>
              <w:t>Anh Ngo</w:t>
            </w:r>
            <w:r>
              <w:rPr>
                <w:rFonts w:ascii="Arial" w:hAnsi="Arial"/>
              </w:rPr>
              <w:t xml:space="preserve">, </w:t>
            </w:r>
            <w:r w:rsidRPr="00FA772F">
              <w:rPr>
                <w:rFonts w:ascii="Arial" w:hAnsi="Arial"/>
              </w:rPr>
              <w:t>Ron Steen</w:t>
            </w:r>
            <w:r>
              <w:rPr>
                <w:rFonts w:ascii="Arial" w:hAnsi="Arial"/>
              </w:rPr>
              <w:t xml:space="preserve">, </w:t>
            </w:r>
            <w:r w:rsidRPr="00FA772F">
              <w:rPr>
                <w:rFonts w:ascii="Arial" w:hAnsi="Arial"/>
              </w:rPr>
              <w:t>Bridget Alexander</w:t>
            </w:r>
            <w:r>
              <w:rPr>
                <w:rFonts w:ascii="Arial" w:hAnsi="Arial"/>
              </w:rPr>
              <w:t xml:space="preserve">, </w:t>
            </w:r>
            <w:r w:rsidRPr="00FA772F">
              <w:rPr>
                <w:rFonts w:ascii="Arial" w:hAnsi="Arial"/>
              </w:rPr>
              <w:t>Bob Bruce</w:t>
            </w:r>
            <w:r>
              <w:rPr>
                <w:rFonts w:ascii="Arial" w:hAnsi="Arial"/>
              </w:rPr>
              <w:t xml:space="preserve">, </w:t>
            </w:r>
            <w:r w:rsidRPr="00FA772F">
              <w:rPr>
                <w:rFonts w:ascii="Arial" w:hAnsi="Arial"/>
              </w:rPr>
              <w:t>Mubeen S</w:t>
            </w:r>
            <w:r>
              <w:rPr>
                <w:rFonts w:ascii="Arial" w:hAnsi="Arial"/>
              </w:rPr>
              <w:t xml:space="preserve">, </w:t>
            </w:r>
            <w:r w:rsidRPr="00FA772F">
              <w:rPr>
                <w:rFonts w:ascii="Arial" w:hAnsi="Arial"/>
              </w:rPr>
              <w:t>Matt Timmerman</w:t>
            </w:r>
            <w:r>
              <w:rPr>
                <w:rFonts w:ascii="Arial" w:hAnsi="Arial"/>
              </w:rPr>
              <w:t>, Joel Lava</w:t>
            </w:r>
            <w:r w:rsidRPr="00FA772F">
              <w:rPr>
                <w:rFonts w:ascii="Arial" w:hAnsi="Arial"/>
              </w:rPr>
              <w:t>ll</w:t>
            </w:r>
            <w:r>
              <w:rPr>
                <w:rFonts w:ascii="Arial" w:hAnsi="Arial"/>
              </w:rPr>
              <w:t>e</w:t>
            </w:r>
            <w:r w:rsidRPr="00FA772F">
              <w:rPr>
                <w:rFonts w:ascii="Arial" w:hAnsi="Arial"/>
              </w:rPr>
              <w:t>y</w:t>
            </w:r>
            <w:r>
              <w:rPr>
                <w:rFonts w:ascii="Arial" w:hAnsi="Arial"/>
              </w:rPr>
              <w:t xml:space="preserve">, </w:t>
            </w:r>
            <w:r w:rsidRPr="00FA772F">
              <w:rPr>
                <w:rFonts w:ascii="Arial" w:hAnsi="Arial"/>
              </w:rPr>
              <w:t>Jennifer Hutton</w:t>
            </w:r>
            <w:r>
              <w:rPr>
                <w:rFonts w:ascii="Arial" w:hAnsi="Arial"/>
              </w:rPr>
              <w:t xml:space="preserve">, </w:t>
            </w:r>
            <w:r w:rsidRPr="00FA772F">
              <w:rPr>
                <w:rFonts w:ascii="Arial" w:hAnsi="Arial"/>
              </w:rPr>
              <w:t>Jason Lee</w:t>
            </w:r>
            <w:r>
              <w:rPr>
                <w:rFonts w:ascii="Arial" w:hAnsi="Arial"/>
              </w:rPr>
              <w:t xml:space="preserve">, </w:t>
            </w:r>
            <w:r w:rsidRPr="00FA772F">
              <w:rPr>
                <w:rFonts w:ascii="Arial" w:hAnsi="Arial"/>
              </w:rPr>
              <w:t>Tanya Golub</w:t>
            </w:r>
            <w:r>
              <w:rPr>
                <w:rFonts w:ascii="Arial" w:hAnsi="Arial"/>
              </w:rPr>
              <w:t xml:space="preserve">, </w:t>
            </w:r>
            <w:r w:rsidRPr="00FA772F">
              <w:rPr>
                <w:rFonts w:ascii="Arial" w:hAnsi="Arial"/>
              </w:rPr>
              <w:t>Jessica Walzer</w:t>
            </w:r>
            <w:r w:rsidR="00027958">
              <w:rPr>
                <w:rFonts w:ascii="Arial" w:hAnsi="Arial"/>
              </w:rPr>
              <w:t xml:space="preserve">, </w:t>
            </w:r>
            <w:r w:rsidRPr="00FA772F">
              <w:rPr>
                <w:rFonts w:ascii="Arial" w:hAnsi="Arial"/>
              </w:rPr>
              <w:t>Mohamed Samater</w:t>
            </w:r>
            <w:r>
              <w:rPr>
                <w:rFonts w:ascii="Arial" w:hAnsi="Arial"/>
              </w:rPr>
              <w:t xml:space="preserve">, </w:t>
            </w:r>
            <w:r w:rsidRPr="00FA772F">
              <w:rPr>
                <w:rFonts w:ascii="Arial" w:hAnsi="Arial"/>
              </w:rPr>
              <w:t>Teresa Patton</w:t>
            </w:r>
          </w:p>
          <w:p w14:paraId="4D328E14" w14:textId="77777777" w:rsidR="00B11B8E" w:rsidRDefault="00B11B8E" w:rsidP="00FA772F">
            <w:pPr>
              <w:spacing w:before="120" w:after="60"/>
              <w:rPr>
                <w:rFonts w:ascii="Arial" w:hAnsi="Arial"/>
              </w:rPr>
            </w:pPr>
          </w:p>
        </w:tc>
      </w:tr>
      <w:tr w:rsidR="00440B6B" w14:paraId="386CB118" w14:textId="77777777" w:rsidTr="006202C9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29A1C6BA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Conducted by:</w:t>
            </w:r>
          </w:p>
        </w:tc>
        <w:tc>
          <w:tcPr>
            <w:tcW w:w="2880" w:type="dxa"/>
            <w:gridSpan w:val="2"/>
          </w:tcPr>
          <w:p w14:paraId="3E5192E1" w14:textId="77777777" w:rsidR="00440B6B" w:rsidRPr="006202C9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caps/>
              </w:rPr>
            </w:pPr>
            <w:r>
              <w:rPr>
                <w:rFonts w:ascii="Arial" w:hAnsi="Arial"/>
              </w:rPr>
              <w:t>Teresa Patton</w:t>
            </w:r>
            <w:r w:rsidR="001A6061">
              <w:rPr>
                <w:rFonts w:ascii="Arial" w:hAnsi="Arial"/>
              </w:rPr>
              <w:t>, Mohamed Samater</w:t>
            </w:r>
            <w:r w:rsidR="006202C9">
              <w:rPr>
                <w:rFonts w:ascii="Arial" w:hAnsi="Arial"/>
              </w:rPr>
              <w:t xml:space="preserve"> and Bridget Alexander</w:t>
            </w:r>
          </w:p>
        </w:tc>
        <w:tc>
          <w:tcPr>
            <w:tcW w:w="1350" w:type="dxa"/>
          </w:tcPr>
          <w:p w14:paraId="5A7C9C40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Recorded by:</w:t>
            </w:r>
          </w:p>
        </w:tc>
        <w:tc>
          <w:tcPr>
            <w:tcW w:w="3528" w:type="dxa"/>
            <w:gridSpan w:val="2"/>
          </w:tcPr>
          <w:p w14:paraId="79832D45" w14:textId="77777777" w:rsidR="00440B6B" w:rsidRDefault="009C43E6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</w:tr>
      <w:tr w:rsidR="00440B6B" w14:paraId="68FD3F76" w14:textId="77777777" w:rsidTr="006202C9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3CD2B777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b/>
              </w:rPr>
            </w:pPr>
          </w:p>
        </w:tc>
        <w:tc>
          <w:tcPr>
            <w:tcW w:w="2880" w:type="dxa"/>
            <w:gridSpan w:val="2"/>
          </w:tcPr>
          <w:p w14:paraId="7AD53096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5FB5DAF5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  <w:b/>
              </w:rPr>
            </w:pPr>
          </w:p>
        </w:tc>
        <w:tc>
          <w:tcPr>
            <w:tcW w:w="3528" w:type="dxa"/>
            <w:gridSpan w:val="2"/>
          </w:tcPr>
          <w:p w14:paraId="5E9DDB91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</w:tr>
    </w:tbl>
    <w:p w14:paraId="56788063" w14:textId="77777777" w:rsidR="00440B6B" w:rsidRDefault="00440B6B">
      <w:pPr>
        <w:tabs>
          <w:tab w:val="left" w:pos="7110"/>
        </w:tabs>
        <w:spacing w:before="60"/>
        <w:rPr>
          <w:rFonts w:ascii="Arial" w:hAnsi="Arial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828"/>
        <w:gridCol w:w="4140"/>
        <w:gridCol w:w="1170"/>
        <w:gridCol w:w="1350"/>
        <w:gridCol w:w="90"/>
        <w:gridCol w:w="990"/>
        <w:gridCol w:w="1170"/>
      </w:tblGrid>
      <w:tr w:rsidR="00440B6B" w14:paraId="6ADAE8CF" w14:textId="77777777" w:rsidTr="008C4E94">
        <w:tblPrEx>
          <w:tblCellMar>
            <w:top w:w="0" w:type="dxa"/>
            <w:bottom w:w="0" w:type="dxa"/>
          </w:tblCellMar>
        </w:tblPrEx>
        <w:tc>
          <w:tcPr>
            <w:tcW w:w="9738" w:type="dxa"/>
            <w:gridSpan w:val="7"/>
            <w:shd w:val="clear" w:color="auto" w:fill="008080"/>
          </w:tcPr>
          <w:p w14:paraId="67E22CBB" w14:textId="77777777" w:rsidR="00440B6B" w:rsidRDefault="00440B6B">
            <w:pPr>
              <w:pStyle w:val="Heading3"/>
              <w:ind w:left="-738" w:right="-1180"/>
              <w:rPr>
                <w:rFonts w:ascii="Arial" w:hAnsi="Arial"/>
              </w:rPr>
            </w:pPr>
            <w:r>
              <w:rPr>
                <w:rFonts w:ascii="Arial" w:hAnsi="Arial"/>
              </w:rPr>
              <w:t>Action Required</w:t>
            </w:r>
          </w:p>
        </w:tc>
      </w:tr>
      <w:tr w:rsidR="00440B6B" w14:paraId="4BFEAEA3" w14:textId="77777777" w:rsidTr="008D026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3619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Action #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4250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B9D4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Status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A76C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Assigned To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B6EC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Target 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49AA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Actual Date</w:t>
            </w:r>
          </w:p>
        </w:tc>
      </w:tr>
      <w:tr w:rsidR="00706B2C" w:rsidRPr="000C5F0B" w14:paraId="55EAA3C2" w14:textId="77777777" w:rsidTr="002D185D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7FAE" w14:textId="77777777" w:rsidR="00706B2C" w:rsidRDefault="00706B2C" w:rsidP="002D185D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4EF3C" w14:textId="77777777" w:rsidR="00706B2C" w:rsidRPr="002F5A40" w:rsidRDefault="00706B2C" w:rsidP="002D18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Participants</w:t>
            </w:r>
            <w:r w:rsidRPr="002F5A40">
              <w:rPr>
                <w:rFonts w:ascii="Arial" w:hAnsi="Arial"/>
              </w:rPr>
              <w:t xml:space="preserve"> are asked to come to the next meeting prepared to discuss their availability to participate in Intercarrier testing at the same time as the ITP (SOA &lt;-&gt;NPAC) 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A8D0A" w14:textId="77777777"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OPEN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93F8" w14:textId="77777777" w:rsidR="00706B2C" w:rsidRPr="000C5F0B" w:rsidRDefault="00706B2C" w:rsidP="002D185D">
            <w:pPr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Carriers</w:t>
            </w:r>
          </w:p>
        </w:tc>
        <w:tc>
          <w:tcPr>
            <w:tcW w:w="10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B0C" w14:textId="77777777"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03/15</w:t>
            </w:r>
            <w:r w:rsidRPr="000C5F0B">
              <w:rPr>
                <w:rFonts w:ascii="Arial" w:hAnsi="Arial"/>
              </w:rPr>
              <w:t>/10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28D7" w14:textId="77777777"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01/27/10</w:t>
            </w:r>
          </w:p>
        </w:tc>
      </w:tr>
      <w:tr w:rsidR="00706B2C" w:rsidRPr="000C5F0B" w14:paraId="2E26F59E" w14:textId="77777777" w:rsidTr="002D185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939A5" w14:textId="77777777" w:rsidR="00706B2C" w:rsidRPr="000C5F0B" w:rsidRDefault="00706B2C" w:rsidP="002D185D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4590" w14:textId="77777777" w:rsidR="00706B2C" w:rsidRPr="002F5A40" w:rsidRDefault="00706B2C" w:rsidP="002D18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Participants</w:t>
            </w:r>
            <w:r w:rsidRPr="002F5A40">
              <w:rPr>
                <w:rFonts w:ascii="Arial" w:hAnsi="Arial"/>
              </w:rPr>
              <w:t xml:space="preserve"> need to determine what types of testing they will be able to support (Simple and</w:t>
            </w:r>
            <w:r>
              <w:rPr>
                <w:rFonts w:ascii="Arial" w:hAnsi="Arial"/>
              </w:rPr>
              <w:t>/or</w:t>
            </w:r>
            <w:r w:rsidRPr="002F5A40">
              <w:rPr>
                <w:rFonts w:ascii="Arial" w:hAnsi="Arial"/>
              </w:rPr>
              <w:t xml:space="preserve"> complex).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57E4" w14:textId="77777777"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OPEN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A909B" w14:textId="77777777" w:rsidR="00706B2C" w:rsidRPr="000C5F0B" w:rsidRDefault="00706B2C" w:rsidP="002D185D">
            <w:pPr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Carriers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A85CA" w14:textId="77777777"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03/15</w:t>
            </w:r>
            <w:r w:rsidRPr="000C5F0B">
              <w:rPr>
                <w:rFonts w:ascii="Arial" w:hAnsi="Arial"/>
              </w:rPr>
              <w:t>/10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B7D68" w14:textId="77777777"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01/27/10</w:t>
            </w:r>
          </w:p>
        </w:tc>
      </w:tr>
      <w:tr w:rsidR="00706B2C" w14:paraId="5554ECFF" w14:textId="77777777" w:rsidTr="002D185D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98B89" w14:textId="77777777" w:rsidR="00706B2C" w:rsidRPr="000C5F0B" w:rsidRDefault="00706B2C" w:rsidP="002D185D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D825" w14:textId="77777777" w:rsidR="00706B2C" w:rsidRPr="000C5F0B" w:rsidRDefault="00706B2C" w:rsidP="002D18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Carriers need to provide dates</w:t>
            </w:r>
            <w:r w:rsidRPr="000C5F0B">
              <w:rPr>
                <w:rFonts w:ascii="Arial" w:hAnsi="Arial"/>
              </w:rPr>
              <w:t xml:space="preserve"> when they plan to support/start </w:t>
            </w:r>
            <w:r>
              <w:rPr>
                <w:rFonts w:ascii="Arial" w:hAnsi="Arial"/>
              </w:rPr>
              <w:t xml:space="preserve">performing intercarrier </w:t>
            </w:r>
            <w:r w:rsidRPr="000C5F0B">
              <w:rPr>
                <w:rFonts w:ascii="Arial" w:hAnsi="Arial"/>
              </w:rPr>
              <w:t>testing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2C0F4" w14:textId="77777777" w:rsidR="00706B2C" w:rsidRPr="000C5F0B" w:rsidRDefault="00706B2C" w:rsidP="002D185D">
            <w:pPr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 xml:space="preserve">     OPEN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55B7" w14:textId="77777777"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 xml:space="preserve">Carriers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17BC" w14:textId="77777777" w:rsidR="00706B2C" w:rsidRPr="000C5F0B" w:rsidRDefault="00706B2C" w:rsidP="002D18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Ongoing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615D" w14:textId="77777777" w:rsidR="00706B2C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01/27/10</w:t>
            </w:r>
          </w:p>
        </w:tc>
      </w:tr>
      <w:tr w:rsidR="00440B6B" w14:paraId="2E4A7EB9" w14:textId="77777777" w:rsidTr="008D026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E607" w14:textId="77777777" w:rsidR="00440B6B" w:rsidRDefault="00440B6B" w:rsidP="002D185D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969E4" w14:textId="77777777"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03760" w14:textId="77777777" w:rsidR="00440B6B" w:rsidRDefault="00440B6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5F20" w14:textId="77777777" w:rsidR="00440B6B" w:rsidRDefault="00440B6B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33534" w14:textId="77777777" w:rsidR="00440B6B" w:rsidRDefault="00440B6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D8EB" w14:textId="77777777" w:rsidR="00440B6B" w:rsidRDefault="00440B6B">
            <w:pPr>
              <w:jc w:val="center"/>
              <w:rPr>
                <w:rFonts w:ascii="Arial" w:hAnsi="Arial"/>
              </w:rPr>
            </w:pPr>
          </w:p>
        </w:tc>
      </w:tr>
    </w:tbl>
    <w:p w14:paraId="7AEC4064" w14:textId="77777777" w:rsidR="00440B6B" w:rsidRDefault="00440B6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440B6B" w14:paraId="4A9A3D58" w14:textId="77777777">
        <w:tblPrEx>
          <w:tblCellMar>
            <w:top w:w="0" w:type="dxa"/>
            <w:bottom w:w="0" w:type="dxa"/>
          </w:tblCellMar>
        </w:tblPrEx>
        <w:tc>
          <w:tcPr>
            <w:tcW w:w="9828" w:type="dxa"/>
            <w:shd w:val="clear" w:color="auto" w:fill="008080"/>
          </w:tcPr>
          <w:p w14:paraId="546F3D94" w14:textId="77777777" w:rsidR="00440B6B" w:rsidRDefault="00440B6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Record significant Topics, Presenters, Decisions:</w:t>
            </w:r>
          </w:p>
        </w:tc>
      </w:tr>
    </w:tbl>
    <w:p w14:paraId="1A3025FF" w14:textId="77777777" w:rsidR="00440B6B" w:rsidRDefault="00440B6B">
      <w:pPr>
        <w:pStyle w:val="Heading1"/>
        <w:spacing w:before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Discussions:</w:t>
      </w:r>
    </w:p>
    <w:p w14:paraId="442E76FC" w14:textId="77777777" w:rsidR="00D428B0" w:rsidRDefault="00D428B0" w:rsidP="004D59DB">
      <w:pPr>
        <w:rPr>
          <w:rFonts w:ascii="Arial" w:hAnsi="Arial"/>
        </w:rPr>
      </w:pPr>
    </w:p>
    <w:p w14:paraId="45978919" w14:textId="77777777" w:rsidR="00380616" w:rsidRDefault="00AA21D9" w:rsidP="00EA6BC2">
      <w:pPr>
        <w:rPr>
          <w:rFonts w:ascii="Arial" w:hAnsi="Arial"/>
        </w:rPr>
      </w:pPr>
      <w:r w:rsidRPr="00AA21D9">
        <w:rPr>
          <w:rFonts w:ascii="Arial" w:hAnsi="Arial"/>
        </w:rPr>
        <w:t xml:space="preserve">The </w:t>
      </w:r>
      <w:r w:rsidR="00271CB8">
        <w:rPr>
          <w:rFonts w:ascii="Arial" w:hAnsi="Arial"/>
        </w:rPr>
        <w:t>ITC sub</w:t>
      </w:r>
      <w:r w:rsidRPr="00AA21D9">
        <w:rPr>
          <w:rFonts w:ascii="Arial" w:hAnsi="Arial"/>
        </w:rPr>
        <w:t>committee</w:t>
      </w:r>
      <w:r>
        <w:rPr>
          <w:rFonts w:ascii="Arial" w:hAnsi="Arial"/>
        </w:rPr>
        <w:t xml:space="preserve"> </w:t>
      </w:r>
      <w:r w:rsidR="00271CB8">
        <w:rPr>
          <w:rFonts w:ascii="Arial" w:hAnsi="Arial"/>
        </w:rPr>
        <w:t xml:space="preserve">participants </w:t>
      </w:r>
      <w:r>
        <w:rPr>
          <w:rFonts w:ascii="Arial" w:hAnsi="Arial"/>
        </w:rPr>
        <w:t>reviewed</w:t>
      </w:r>
      <w:r w:rsidR="00271CB8">
        <w:rPr>
          <w:rFonts w:ascii="Arial" w:hAnsi="Arial"/>
        </w:rPr>
        <w:t>/updated the W</w:t>
      </w:r>
      <w:r w:rsidR="00AB1B5D">
        <w:rPr>
          <w:rFonts w:ascii="Arial" w:hAnsi="Arial"/>
        </w:rPr>
        <w:t>ireline</w:t>
      </w:r>
      <w:r w:rsidR="00271CB8">
        <w:rPr>
          <w:rFonts w:ascii="Arial" w:hAnsi="Arial"/>
        </w:rPr>
        <w:t>-Intermodal Test P</w:t>
      </w:r>
      <w:r w:rsidR="00EA6BC2">
        <w:rPr>
          <w:rFonts w:ascii="Arial" w:hAnsi="Arial"/>
        </w:rPr>
        <w:t xml:space="preserve">lan </w:t>
      </w:r>
      <w:r w:rsidR="00271CB8">
        <w:rPr>
          <w:rFonts w:ascii="Arial" w:hAnsi="Arial"/>
        </w:rPr>
        <w:t>document</w:t>
      </w:r>
      <w:r w:rsidR="00AB1B5D">
        <w:rPr>
          <w:rFonts w:ascii="Arial" w:hAnsi="Arial"/>
        </w:rPr>
        <w:t>:</w:t>
      </w:r>
    </w:p>
    <w:p w14:paraId="61735EF8" w14:textId="77777777" w:rsidR="00EA6BC2" w:rsidRDefault="00EA6BC2" w:rsidP="00EA6BC2">
      <w:pPr>
        <w:rPr>
          <w:rFonts w:ascii="Arial" w:hAnsi="Arial"/>
        </w:rPr>
      </w:pPr>
    </w:p>
    <w:p w14:paraId="220F3699" w14:textId="77777777" w:rsidR="00F13147" w:rsidRDefault="00F13147" w:rsidP="00F13147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Within the wireline and intermodal test plan, VOIP carriers will be defined as Intermodal entity as they are defined as such in the FCC 09-41Order</w:t>
      </w:r>
      <w:r w:rsidR="00271CB8">
        <w:rPr>
          <w:rFonts w:ascii="Arial" w:hAnsi="Arial"/>
        </w:rPr>
        <w:t xml:space="preserve"> (see footnote one for more </w:t>
      </w:r>
      <w:proofErr w:type="gramStart"/>
      <w:r w:rsidR="00271CB8">
        <w:rPr>
          <w:rFonts w:ascii="Arial" w:hAnsi="Arial"/>
        </w:rPr>
        <w:t>details )</w:t>
      </w:r>
      <w:proofErr w:type="gramEnd"/>
    </w:p>
    <w:p w14:paraId="3CAE51A4" w14:textId="77777777" w:rsidR="00F13147" w:rsidRDefault="00F13147" w:rsidP="00F13147">
      <w:pPr>
        <w:rPr>
          <w:rFonts w:ascii="Arial" w:hAnsi="Arial"/>
        </w:rPr>
      </w:pPr>
    </w:p>
    <w:p w14:paraId="067ED40D" w14:textId="77777777" w:rsidR="00F13147" w:rsidRDefault="00F13147" w:rsidP="00F13147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 xml:space="preserve">Section 3.8: Participants agreed to </w:t>
      </w:r>
      <w:r w:rsidR="00271CB8">
        <w:rPr>
          <w:rFonts w:ascii="Arial" w:hAnsi="Arial"/>
        </w:rPr>
        <w:t>point out</w:t>
      </w:r>
      <w:r>
        <w:rPr>
          <w:rFonts w:ascii="Arial" w:hAnsi="Arial"/>
        </w:rPr>
        <w:t xml:space="preserve"> that carriers will negotiate the appropriate required account information (</w:t>
      </w:r>
      <w:r w:rsidR="00271CB8">
        <w:rPr>
          <w:rFonts w:ascii="Arial" w:hAnsi="Arial"/>
        </w:rPr>
        <w:t>such as</w:t>
      </w:r>
      <w:r>
        <w:rPr>
          <w:rFonts w:ascii="Arial" w:hAnsi="Arial"/>
        </w:rPr>
        <w:t xml:space="preserve"> CSRs) for any particular test LSR Order </w:t>
      </w:r>
      <w:proofErr w:type="gramStart"/>
      <w:r>
        <w:rPr>
          <w:rFonts w:ascii="Arial" w:hAnsi="Arial"/>
        </w:rPr>
        <w:t>submission</w:t>
      </w:r>
      <w:proofErr w:type="gramEnd"/>
    </w:p>
    <w:p w14:paraId="4A99B789" w14:textId="77777777" w:rsidR="00F13147" w:rsidRDefault="00F13147" w:rsidP="00F13147">
      <w:pPr>
        <w:pStyle w:val="ListParagraph"/>
        <w:rPr>
          <w:rFonts w:ascii="Arial" w:hAnsi="Arial"/>
        </w:rPr>
      </w:pPr>
    </w:p>
    <w:p w14:paraId="0622E12F" w14:textId="77777777" w:rsidR="00F13147" w:rsidRDefault="00F13147" w:rsidP="00F13147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Section 4: It was deemed necessary to add the fact that s</w:t>
      </w:r>
      <w:r w:rsidRPr="00F13147">
        <w:rPr>
          <w:rFonts w:ascii="Arial" w:hAnsi="Arial"/>
        </w:rPr>
        <w:t>pecific testing dates and times should be negotiated between Service Providers</w:t>
      </w:r>
    </w:p>
    <w:p w14:paraId="03257675" w14:textId="77777777" w:rsidR="00F13147" w:rsidRDefault="00F13147" w:rsidP="00F13147">
      <w:pPr>
        <w:pStyle w:val="ListParagraph"/>
        <w:rPr>
          <w:rFonts w:ascii="Arial" w:hAnsi="Arial"/>
        </w:rPr>
      </w:pPr>
    </w:p>
    <w:p w14:paraId="4F3E2AB0" w14:textId="77777777" w:rsidR="00F13147" w:rsidRDefault="00F13147" w:rsidP="00F13147">
      <w:pPr>
        <w:numPr>
          <w:ilvl w:val="0"/>
          <w:numId w:val="7"/>
        </w:numPr>
        <w:tabs>
          <w:tab w:val="num" w:pos="720"/>
        </w:tabs>
        <w:rPr>
          <w:rFonts w:ascii="Arial" w:hAnsi="Arial"/>
        </w:rPr>
      </w:pPr>
      <w:r>
        <w:rPr>
          <w:rFonts w:ascii="Arial" w:hAnsi="Arial"/>
        </w:rPr>
        <w:t>Section 5: the first part of the section</w:t>
      </w:r>
      <w:r w:rsidR="00271CB8">
        <w:rPr>
          <w:rFonts w:ascii="Arial" w:hAnsi="Arial"/>
        </w:rPr>
        <w:t xml:space="preserve"> five</w:t>
      </w:r>
      <w:r>
        <w:rPr>
          <w:rFonts w:ascii="Arial" w:hAnsi="Arial"/>
        </w:rPr>
        <w:t xml:space="preserve"> was updated to reflect, ‘s</w:t>
      </w:r>
      <w:r w:rsidRPr="00F13147">
        <w:rPr>
          <w:rFonts w:ascii="Arial" w:hAnsi="Arial"/>
        </w:rPr>
        <w:t xml:space="preserve">ervice Providers will provide the necessary resources to execute the LNP test cases outlined in Appendix A as agreed to with the testing </w:t>
      </w:r>
      <w:proofErr w:type="gramStart"/>
      <w:r w:rsidRPr="00F13147">
        <w:rPr>
          <w:rFonts w:ascii="Arial" w:hAnsi="Arial"/>
        </w:rPr>
        <w:t>partners</w:t>
      </w:r>
      <w:r>
        <w:rPr>
          <w:rFonts w:ascii="Arial" w:hAnsi="Arial"/>
        </w:rPr>
        <w:t>’</w:t>
      </w:r>
      <w:proofErr w:type="gramEnd"/>
    </w:p>
    <w:p w14:paraId="1EF88705" w14:textId="77777777" w:rsidR="00F13147" w:rsidRDefault="00F13147" w:rsidP="00F13147">
      <w:pPr>
        <w:pStyle w:val="ListParagraph"/>
        <w:rPr>
          <w:rFonts w:ascii="Arial" w:hAnsi="Arial"/>
        </w:rPr>
      </w:pPr>
    </w:p>
    <w:p w14:paraId="3F609692" w14:textId="77777777" w:rsidR="00F13147" w:rsidRPr="00F13147" w:rsidRDefault="00F13147" w:rsidP="00F13147">
      <w:pPr>
        <w:rPr>
          <w:rFonts w:ascii="Arial" w:hAnsi="Arial"/>
        </w:rPr>
      </w:pPr>
    </w:p>
    <w:p w14:paraId="777D2B03" w14:textId="77777777" w:rsidR="00027958" w:rsidRPr="00027958" w:rsidRDefault="008D232C" w:rsidP="00027958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 xml:space="preserve">Additional test case </w:t>
      </w:r>
      <w:r w:rsidR="00271CB8">
        <w:rPr>
          <w:rFonts w:ascii="Arial" w:hAnsi="Arial"/>
        </w:rPr>
        <w:t xml:space="preserve">was </w:t>
      </w:r>
      <w:r>
        <w:rPr>
          <w:rFonts w:ascii="Arial" w:hAnsi="Arial"/>
        </w:rPr>
        <w:t>added</w:t>
      </w:r>
      <w:r w:rsidR="00271CB8">
        <w:rPr>
          <w:rFonts w:ascii="Arial" w:hAnsi="Arial"/>
        </w:rPr>
        <w:t xml:space="preserve"> S11</w:t>
      </w:r>
      <w:r>
        <w:rPr>
          <w:rFonts w:ascii="Arial" w:hAnsi="Arial"/>
        </w:rPr>
        <w:t xml:space="preserve">, which </w:t>
      </w:r>
      <w:proofErr w:type="gramStart"/>
      <w:r>
        <w:rPr>
          <w:rFonts w:ascii="Arial" w:hAnsi="Arial"/>
        </w:rPr>
        <w:t>covers</w:t>
      </w:r>
      <w:r w:rsidR="00271CB8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027958" w:rsidRPr="00027958">
        <w:rPr>
          <w:rFonts w:ascii="Arial" w:hAnsi="Arial"/>
        </w:rPr>
        <w:t>LSR</w:t>
      </w:r>
      <w:proofErr w:type="gramEnd"/>
      <w:r w:rsidR="00027958">
        <w:rPr>
          <w:rFonts w:ascii="Arial" w:hAnsi="Arial"/>
        </w:rPr>
        <w:t xml:space="preserve"> </w:t>
      </w:r>
      <w:r w:rsidR="00027958" w:rsidRPr="00027958">
        <w:rPr>
          <w:rFonts w:ascii="Arial" w:hAnsi="Arial"/>
        </w:rPr>
        <w:t>Single line port with optional data formatted correc</w:t>
      </w:r>
      <w:r w:rsidR="00027958">
        <w:rPr>
          <w:rFonts w:ascii="Arial" w:hAnsi="Arial"/>
        </w:rPr>
        <w:t xml:space="preserve">tly followed by a FOC response test scenario </w:t>
      </w:r>
    </w:p>
    <w:p w14:paraId="17E81957" w14:textId="77777777" w:rsidR="00027958" w:rsidRDefault="00027958" w:rsidP="00027958">
      <w:pPr>
        <w:ind w:left="360"/>
        <w:rPr>
          <w:rFonts w:ascii="Arial" w:hAnsi="Arial"/>
        </w:rPr>
      </w:pPr>
    </w:p>
    <w:p w14:paraId="3E20CCD6" w14:textId="77777777" w:rsidR="00027958" w:rsidRDefault="00027958" w:rsidP="00027958">
      <w:pPr>
        <w:ind w:left="360"/>
        <w:rPr>
          <w:rFonts w:ascii="Arial" w:hAnsi="Arial"/>
        </w:rPr>
      </w:pPr>
    </w:p>
    <w:p w14:paraId="0B5F0A5B" w14:textId="77777777" w:rsidR="00027958" w:rsidRDefault="00027958" w:rsidP="00027958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 xml:space="preserve">Test case#S8 will be on the schedule on our upcoming meetings as there could be changes dependent on the Due Date &amp; Time </w:t>
      </w:r>
      <w:r w:rsidR="00271CB8">
        <w:rPr>
          <w:rFonts w:ascii="Arial" w:hAnsi="Arial"/>
        </w:rPr>
        <w:t>discussion at the LNPA-WG</w:t>
      </w:r>
      <w:r>
        <w:rPr>
          <w:rFonts w:ascii="Arial" w:hAnsi="Arial"/>
        </w:rPr>
        <w:t xml:space="preserve">, which is scheduled to be discussed at the next </w:t>
      </w:r>
      <w:r w:rsidR="00271CB8">
        <w:rPr>
          <w:rFonts w:ascii="Arial" w:hAnsi="Arial"/>
        </w:rPr>
        <w:t xml:space="preserve">LNPA-WG </w:t>
      </w:r>
      <w:r>
        <w:rPr>
          <w:rFonts w:ascii="Arial" w:hAnsi="Arial"/>
        </w:rPr>
        <w:t>call (scheduled for April</w:t>
      </w:r>
      <w:r w:rsidR="00271CB8">
        <w:rPr>
          <w:rFonts w:ascii="Arial" w:hAnsi="Arial"/>
        </w:rPr>
        <w:t xml:space="preserve"> 13</w:t>
      </w:r>
      <w:r w:rsidR="00271CB8" w:rsidRPr="00271CB8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>)</w:t>
      </w:r>
    </w:p>
    <w:p w14:paraId="581D0C04" w14:textId="77777777" w:rsidR="00027958" w:rsidRDefault="00027958" w:rsidP="00027958">
      <w:pPr>
        <w:rPr>
          <w:rFonts w:ascii="Arial" w:hAnsi="Arial"/>
        </w:rPr>
      </w:pPr>
    </w:p>
    <w:p w14:paraId="6D62CFD0" w14:textId="77777777" w:rsidR="00027958" w:rsidRPr="00F13147" w:rsidRDefault="00027958" w:rsidP="00027958">
      <w:pPr>
        <w:rPr>
          <w:rFonts w:ascii="Arial" w:hAnsi="Arial"/>
        </w:rPr>
      </w:pPr>
      <w:r>
        <w:rPr>
          <w:rFonts w:ascii="Arial" w:hAnsi="Arial"/>
        </w:rPr>
        <w:t xml:space="preserve">The following is the latest version of the Wireline-Intermodal Test Plan document:  </w:t>
      </w:r>
    </w:p>
    <w:p w14:paraId="02CB6104" w14:textId="77777777" w:rsidR="00AB1B5D" w:rsidRDefault="00AB1B5D">
      <w:pPr>
        <w:rPr>
          <w:rFonts w:ascii="Arial" w:hAnsi="Arial"/>
        </w:rPr>
      </w:pPr>
    </w:p>
    <w:p w14:paraId="4F559312" w14:textId="77777777" w:rsidR="00AB1B5D" w:rsidRDefault="00AB1B5D">
      <w:pPr>
        <w:rPr>
          <w:rFonts w:ascii="Arial" w:hAnsi="Arial"/>
        </w:rPr>
      </w:pPr>
    </w:p>
    <w:bookmarkStart w:id="0" w:name="_MON_1331618982"/>
    <w:bookmarkEnd w:id="0"/>
    <w:p w14:paraId="20F7F15C" w14:textId="77777777" w:rsidR="00AB1B5D" w:rsidRDefault="00027958">
      <w:pPr>
        <w:rPr>
          <w:rFonts w:ascii="Arial" w:hAnsi="Arial"/>
        </w:rPr>
      </w:pPr>
      <w:r>
        <w:rPr>
          <w:rFonts w:ascii="Arial" w:hAnsi="Arial"/>
        </w:rPr>
        <w:object w:dxaOrig="1543" w:dyaOrig="998" w14:anchorId="03B4BA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0pt" o:ole="">
            <v:imagedata r:id="rId7" o:title=""/>
          </v:shape>
          <o:OLEObject Type="Embed" ProgID="Word.Document.8" ShapeID="_x0000_i1025" DrawAspect="Icon" ObjectID="_1748436188" r:id="rId8">
            <o:FieldCodes>\s</o:FieldCodes>
          </o:OLEObject>
        </w:object>
      </w:r>
    </w:p>
    <w:p w14:paraId="62F31C67" w14:textId="77777777" w:rsidR="00AB1B5D" w:rsidRDefault="00AB1B5D">
      <w:pPr>
        <w:rPr>
          <w:rFonts w:ascii="Arial" w:hAnsi="Arial"/>
        </w:rPr>
      </w:pPr>
    </w:p>
    <w:p w14:paraId="23958E49" w14:textId="77777777" w:rsidR="00706B2C" w:rsidRDefault="00027958">
      <w:pPr>
        <w:rPr>
          <w:rFonts w:ascii="Arial" w:hAnsi="Arial"/>
        </w:rPr>
      </w:pPr>
      <w:r>
        <w:rPr>
          <w:rFonts w:ascii="Arial" w:hAnsi="Arial"/>
        </w:rPr>
        <w:t xml:space="preserve">Please note </w:t>
      </w:r>
      <w:r w:rsidR="00271CB8">
        <w:rPr>
          <w:rFonts w:ascii="Arial" w:hAnsi="Arial"/>
        </w:rPr>
        <w:t>that</w:t>
      </w:r>
      <w:r>
        <w:rPr>
          <w:rFonts w:ascii="Arial" w:hAnsi="Arial"/>
        </w:rPr>
        <w:t xml:space="preserve"> there are additional comments from </w:t>
      </w:r>
      <w:r w:rsidR="00271CB8">
        <w:rPr>
          <w:rFonts w:ascii="Arial" w:hAnsi="Arial"/>
        </w:rPr>
        <w:t xml:space="preserve">the </w:t>
      </w:r>
      <w:r>
        <w:rPr>
          <w:rFonts w:ascii="Arial" w:hAnsi="Arial"/>
        </w:rPr>
        <w:t>ITC participants</w:t>
      </w:r>
      <w:r w:rsidR="00271CB8">
        <w:rPr>
          <w:rFonts w:ascii="Arial" w:hAnsi="Arial"/>
        </w:rPr>
        <w:t xml:space="preserve"> pertaining to the above Wireline-Intermodal Test plan document.</w:t>
      </w:r>
      <w:r>
        <w:rPr>
          <w:rFonts w:ascii="Arial" w:hAnsi="Arial"/>
        </w:rPr>
        <w:t xml:space="preserve"> </w:t>
      </w:r>
      <w:r w:rsidR="00271CB8">
        <w:rPr>
          <w:rFonts w:ascii="Arial" w:hAnsi="Arial"/>
        </w:rPr>
        <w:t>T</w:t>
      </w:r>
      <w:r>
        <w:rPr>
          <w:rFonts w:ascii="Arial" w:hAnsi="Arial"/>
        </w:rPr>
        <w:t xml:space="preserve">he document will be updated to reflect any </w:t>
      </w:r>
      <w:r w:rsidR="00271CB8">
        <w:rPr>
          <w:rFonts w:ascii="Arial" w:hAnsi="Arial"/>
        </w:rPr>
        <w:t xml:space="preserve">feedback and discussion of changes will occur in our upcoming ITC check point </w:t>
      </w:r>
      <w:proofErr w:type="gramStart"/>
      <w:r w:rsidR="00271CB8">
        <w:rPr>
          <w:rFonts w:ascii="Arial" w:hAnsi="Arial"/>
        </w:rPr>
        <w:t>meeting</w:t>
      </w:r>
      <w:proofErr w:type="gramEnd"/>
    </w:p>
    <w:p w14:paraId="3B804B74" w14:textId="77777777" w:rsidR="00706B2C" w:rsidRDefault="00706B2C">
      <w:pPr>
        <w:rPr>
          <w:rFonts w:ascii="Arial" w:hAnsi="Arial"/>
        </w:rPr>
      </w:pPr>
    </w:p>
    <w:p w14:paraId="43DB7F2D" w14:textId="77777777" w:rsidR="00706B2C" w:rsidRDefault="00706B2C">
      <w:pPr>
        <w:rPr>
          <w:rFonts w:ascii="Arial" w:hAnsi="Arial"/>
        </w:rPr>
      </w:pPr>
    </w:p>
    <w:p w14:paraId="56AAB99D" w14:textId="77777777" w:rsidR="00706B2C" w:rsidRDefault="00706B2C" w:rsidP="00706B2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Upcoming Meeting</w:t>
      </w:r>
    </w:p>
    <w:p w14:paraId="6E9F94D3" w14:textId="77777777" w:rsidR="00706B2C" w:rsidRDefault="00706B2C" w:rsidP="00706B2C">
      <w:pPr>
        <w:rPr>
          <w:rFonts w:ascii="Arial" w:hAnsi="Arial"/>
          <w:b/>
          <w:u w:val="single"/>
        </w:rPr>
      </w:pPr>
    </w:p>
    <w:p w14:paraId="7B1D45DB" w14:textId="77777777" w:rsidR="00AB1B5D" w:rsidRDefault="00AB1B5D" w:rsidP="00706B2C">
      <w:pPr>
        <w:rPr>
          <w:rFonts w:ascii="Arial" w:hAnsi="Arial"/>
          <w:b/>
          <w:u w:val="single"/>
        </w:rPr>
      </w:pPr>
    </w:p>
    <w:p w14:paraId="2D0DCF48" w14:textId="77777777" w:rsidR="00AB1B5D" w:rsidRPr="00C75225" w:rsidRDefault="00AB1B5D" w:rsidP="00AB1B5D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Wireless to Wireless Test Plan review is scheduled for</w:t>
      </w:r>
      <w:r>
        <w:rPr>
          <w:rFonts w:ascii="Arial" w:hAnsi="Arial"/>
          <w:b/>
        </w:rPr>
        <w:t xml:space="preserve"> April 1</w:t>
      </w:r>
      <w:r w:rsidRPr="00AB1B5D">
        <w:rPr>
          <w:rFonts w:ascii="Arial" w:hAnsi="Arial"/>
          <w:b/>
          <w:vertAlign w:val="superscript"/>
        </w:rPr>
        <w:t>st</w:t>
      </w:r>
      <w:r>
        <w:rPr>
          <w:rFonts w:ascii="Arial" w:hAnsi="Arial"/>
          <w:b/>
        </w:rPr>
        <w:t xml:space="preserve">, </w:t>
      </w:r>
      <w:proofErr w:type="gramStart"/>
      <w:r>
        <w:rPr>
          <w:rFonts w:ascii="Arial" w:hAnsi="Arial"/>
          <w:b/>
        </w:rPr>
        <w:t>2010</w:t>
      </w:r>
      <w:proofErr w:type="gramEnd"/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at </w:t>
      </w:r>
      <w:r>
        <w:rPr>
          <w:rFonts w:ascii="Arial" w:hAnsi="Arial"/>
          <w:b/>
        </w:rPr>
        <w:t>3</w:t>
      </w:r>
      <w:r w:rsidRPr="00041320">
        <w:rPr>
          <w:rFonts w:ascii="Arial" w:hAnsi="Arial"/>
          <w:b/>
        </w:rPr>
        <w:t>PM</w:t>
      </w:r>
      <w:r>
        <w:rPr>
          <w:rFonts w:ascii="Arial" w:hAnsi="Arial"/>
        </w:rPr>
        <w:t xml:space="preserve"> to </w:t>
      </w:r>
      <w:r w:rsidRPr="00041320">
        <w:rPr>
          <w:rFonts w:ascii="Arial" w:hAnsi="Arial"/>
          <w:b/>
        </w:rPr>
        <w:t>5PM</w:t>
      </w:r>
      <w:r>
        <w:rPr>
          <w:rFonts w:ascii="Arial" w:hAnsi="Arial"/>
        </w:rPr>
        <w:t xml:space="preserve"> ET. This meeting will be held at the following conference bridge </w:t>
      </w:r>
      <w:r w:rsidRPr="000D4454">
        <w:rPr>
          <w:rFonts w:ascii="Arial" w:hAnsi="Arial"/>
          <w:b/>
        </w:rPr>
        <w:t>(</w:t>
      </w:r>
      <w:r>
        <w:rPr>
          <w:rFonts w:ascii="Arial" w:hAnsi="Arial"/>
          <w:b/>
        </w:rPr>
        <w:t>(877) 888-4443 PASSCODE 623</w:t>
      </w:r>
      <w:r w:rsidRPr="000D4454">
        <w:rPr>
          <w:rFonts w:ascii="Arial" w:hAnsi="Arial"/>
          <w:b/>
        </w:rPr>
        <w:t>0424</w:t>
      </w:r>
      <w:proofErr w:type="gramStart"/>
      <w:r w:rsidRPr="000D4454">
        <w:rPr>
          <w:rFonts w:ascii="Arial" w:hAnsi="Arial"/>
          <w:b/>
        </w:rPr>
        <w:t>#</w:t>
      </w:r>
      <w:r>
        <w:rPr>
          <w:rFonts w:ascii="Arial" w:hAnsi="Arial"/>
          <w:b/>
        </w:rPr>
        <w:t xml:space="preserve"> )</w:t>
      </w:r>
      <w:proofErr w:type="gramEnd"/>
    </w:p>
    <w:p w14:paraId="05D5C637" w14:textId="77777777" w:rsidR="00AB1B5D" w:rsidRDefault="00AB1B5D" w:rsidP="00706B2C">
      <w:pPr>
        <w:rPr>
          <w:rFonts w:ascii="Arial" w:hAnsi="Arial"/>
          <w:b/>
          <w:u w:val="single"/>
        </w:rPr>
      </w:pPr>
    </w:p>
    <w:p w14:paraId="7521E346" w14:textId="77777777" w:rsidR="00AB1B5D" w:rsidRDefault="00AB1B5D" w:rsidP="00706B2C">
      <w:pPr>
        <w:rPr>
          <w:rFonts w:ascii="Arial" w:hAnsi="Arial"/>
          <w:b/>
          <w:u w:val="single"/>
        </w:rPr>
      </w:pPr>
    </w:p>
    <w:p w14:paraId="3018F695" w14:textId="77777777" w:rsidR="00041320" w:rsidRPr="00C75225" w:rsidRDefault="00AB1B5D" w:rsidP="002D185D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Additional checkpoint meeting is scheduled for</w:t>
      </w:r>
      <w:r>
        <w:rPr>
          <w:rFonts w:ascii="Arial" w:hAnsi="Arial"/>
          <w:b/>
        </w:rPr>
        <w:t xml:space="preserve"> </w:t>
      </w:r>
      <w:r w:rsidR="000B6F24" w:rsidRPr="000B6F24">
        <w:rPr>
          <w:rFonts w:ascii="Arial" w:hAnsi="Arial"/>
        </w:rPr>
        <w:t>the</w:t>
      </w:r>
      <w:r w:rsidR="000B6F2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April</w:t>
      </w:r>
      <w:r w:rsidR="00041320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8</w:t>
      </w:r>
      <w:r w:rsidRPr="00AB1B5D">
        <w:rPr>
          <w:rFonts w:ascii="Arial" w:hAnsi="Arial"/>
          <w:b/>
          <w:vertAlign w:val="superscript"/>
        </w:rPr>
        <w:t>th</w:t>
      </w:r>
      <w:r w:rsidR="00041320">
        <w:rPr>
          <w:rFonts w:ascii="Arial" w:hAnsi="Arial"/>
          <w:b/>
        </w:rPr>
        <w:t xml:space="preserve">, </w:t>
      </w:r>
      <w:proofErr w:type="gramStart"/>
      <w:r w:rsidR="00041320">
        <w:rPr>
          <w:rFonts w:ascii="Arial" w:hAnsi="Arial"/>
          <w:b/>
        </w:rPr>
        <w:t>2010</w:t>
      </w:r>
      <w:proofErr w:type="gramEnd"/>
      <w:r w:rsidR="00041320">
        <w:rPr>
          <w:rFonts w:ascii="Arial" w:hAnsi="Arial"/>
          <w:b/>
        </w:rPr>
        <w:t xml:space="preserve"> </w:t>
      </w:r>
      <w:r w:rsidR="00041320">
        <w:rPr>
          <w:rFonts w:ascii="Arial" w:hAnsi="Arial"/>
        </w:rPr>
        <w:t xml:space="preserve">at </w:t>
      </w:r>
      <w:r w:rsidR="00041320" w:rsidRPr="00041320">
        <w:rPr>
          <w:rFonts w:ascii="Arial" w:hAnsi="Arial"/>
          <w:b/>
        </w:rPr>
        <w:t>4PM</w:t>
      </w:r>
      <w:r w:rsidR="00041320">
        <w:rPr>
          <w:rFonts w:ascii="Arial" w:hAnsi="Arial"/>
        </w:rPr>
        <w:t xml:space="preserve"> to </w:t>
      </w:r>
      <w:r>
        <w:rPr>
          <w:rFonts w:ascii="Arial" w:hAnsi="Arial"/>
          <w:b/>
        </w:rPr>
        <w:t>4:30</w:t>
      </w:r>
      <w:r w:rsidR="00041320" w:rsidRPr="00041320">
        <w:rPr>
          <w:rFonts w:ascii="Arial" w:hAnsi="Arial"/>
          <w:b/>
        </w:rPr>
        <w:t>PM</w:t>
      </w:r>
      <w:r w:rsidR="00041320">
        <w:rPr>
          <w:rFonts w:ascii="Arial" w:hAnsi="Arial"/>
        </w:rPr>
        <w:t xml:space="preserve"> ET. This meeting will be held at the following conference bridge </w:t>
      </w:r>
      <w:r w:rsidR="00041320" w:rsidRPr="000D4454">
        <w:rPr>
          <w:rFonts w:ascii="Arial" w:hAnsi="Arial"/>
          <w:b/>
        </w:rPr>
        <w:t>(</w:t>
      </w:r>
      <w:r w:rsidR="00041320">
        <w:rPr>
          <w:rFonts w:ascii="Arial" w:hAnsi="Arial"/>
          <w:b/>
        </w:rPr>
        <w:t>(877) 888-4443 PASSCODE 623</w:t>
      </w:r>
      <w:r w:rsidR="00041320" w:rsidRPr="000D4454">
        <w:rPr>
          <w:rFonts w:ascii="Arial" w:hAnsi="Arial"/>
          <w:b/>
        </w:rPr>
        <w:t>0424</w:t>
      </w:r>
      <w:proofErr w:type="gramStart"/>
      <w:r w:rsidR="00041320" w:rsidRPr="000D4454">
        <w:rPr>
          <w:rFonts w:ascii="Arial" w:hAnsi="Arial"/>
          <w:b/>
        </w:rPr>
        <w:t>#</w:t>
      </w:r>
      <w:r w:rsidR="00041320">
        <w:rPr>
          <w:rFonts w:ascii="Arial" w:hAnsi="Arial"/>
          <w:b/>
        </w:rPr>
        <w:t xml:space="preserve"> )</w:t>
      </w:r>
      <w:proofErr w:type="gramEnd"/>
    </w:p>
    <w:p w14:paraId="48B8793C" w14:textId="77777777" w:rsidR="00041320" w:rsidRDefault="00041320" w:rsidP="00706B2C">
      <w:pPr>
        <w:rPr>
          <w:rFonts w:ascii="Arial" w:hAnsi="Arial"/>
          <w:b/>
          <w:u w:val="single"/>
        </w:rPr>
      </w:pPr>
    </w:p>
    <w:p w14:paraId="680FDB18" w14:textId="77777777" w:rsidR="00AB1B5D" w:rsidRDefault="00AB1B5D" w:rsidP="00706B2C">
      <w:pPr>
        <w:rPr>
          <w:rFonts w:ascii="Arial" w:hAnsi="Arial"/>
        </w:rPr>
      </w:pPr>
    </w:p>
    <w:p w14:paraId="435521ED" w14:textId="77777777" w:rsidR="00706B2C" w:rsidRDefault="00706B2C" w:rsidP="00706B2C">
      <w:pPr>
        <w:rPr>
          <w:rFonts w:ascii="Arial" w:hAnsi="Arial"/>
          <w:b/>
          <w:u w:val="single"/>
        </w:rPr>
      </w:pPr>
    </w:p>
    <w:p w14:paraId="340364C1" w14:textId="77777777" w:rsidR="00706B2C" w:rsidRDefault="00706B2C" w:rsidP="00706B2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Current tentatively planned Test Schedule </w:t>
      </w:r>
    </w:p>
    <w:p w14:paraId="013D09EC" w14:textId="77777777" w:rsidR="00706B2C" w:rsidRDefault="00706B2C" w:rsidP="00706B2C">
      <w:pPr>
        <w:ind w:left="720"/>
        <w:rPr>
          <w:rFonts w:ascii="Arial" w:hAnsi="Arial"/>
          <w:b/>
          <w:u w:val="single"/>
        </w:rPr>
      </w:pPr>
      <w:r>
        <w:object w:dxaOrig="16354" w:dyaOrig="8730" w14:anchorId="47738A69">
          <v:shape id="_x0000_i1026" type="#_x0000_t75" style="width:467.5pt;height:249.5pt" o:ole="">
            <v:imagedata r:id="rId9" o:title=""/>
          </v:shape>
          <o:OLEObject Type="Embed" ProgID="Visio.Drawing.11" ShapeID="_x0000_i1026" DrawAspect="Content" ObjectID="_1748436189" r:id="rId10"/>
        </w:object>
      </w:r>
    </w:p>
    <w:p w14:paraId="1DB252FE" w14:textId="77777777" w:rsidR="00706B2C" w:rsidRDefault="00706B2C" w:rsidP="00706B2C">
      <w:pPr>
        <w:ind w:left="720"/>
        <w:rPr>
          <w:rFonts w:ascii="Arial" w:hAnsi="Arial"/>
          <w:b/>
          <w:u w:val="single"/>
        </w:rPr>
      </w:pPr>
    </w:p>
    <w:p w14:paraId="5D268CDA" w14:textId="77777777" w:rsidR="00706B2C" w:rsidRDefault="00706B2C" w:rsidP="00706B2C">
      <w:pPr>
        <w:ind w:left="720"/>
        <w:rPr>
          <w:rFonts w:ascii="Arial" w:hAnsi="Arial"/>
          <w:b/>
          <w:u w:val="single"/>
        </w:rPr>
      </w:pPr>
    </w:p>
    <w:p w14:paraId="2AF65D7A" w14:textId="77777777" w:rsidR="00706B2C" w:rsidRDefault="00706B2C" w:rsidP="00706B2C">
      <w:pPr>
        <w:ind w:left="720"/>
        <w:rPr>
          <w:rFonts w:ascii="Arial" w:hAnsi="Arial"/>
          <w:b/>
          <w:u w:val="single"/>
        </w:rPr>
      </w:pPr>
    </w:p>
    <w:p w14:paraId="486CDE0C" w14:textId="77777777" w:rsidR="00706B2C" w:rsidRDefault="00706B2C" w:rsidP="00706B2C">
      <w:pPr>
        <w:rPr>
          <w:rFonts w:ascii="Arial" w:hAnsi="Arial"/>
          <w:b/>
          <w:u w:val="single"/>
        </w:rPr>
      </w:pPr>
      <w:r w:rsidRPr="007C0169">
        <w:rPr>
          <w:rFonts w:ascii="Arial" w:hAnsi="Arial"/>
          <w:b/>
          <w:u w:val="single"/>
        </w:rPr>
        <w:t>Vendor to Vendor Testing Schedule</w:t>
      </w:r>
      <w:r>
        <w:rPr>
          <w:rFonts w:ascii="Arial" w:hAnsi="Arial"/>
          <w:b/>
          <w:u w:val="single"/>
        </w:rPr>
        <w:t xml:space="preserve"> </w:t>
      </w:r>
    </w:p>
    <w:p w14:paraId="138F4C34" w14:textId="77777777" w:rsidR="00706B2C" w:rsidRPr="007C0169" w:rsidRDefault="00706B2C" w:rsidP="00706B2C">
      <w:pPr>
        <w:ind w:left="720"/>
        <w:rPr>
          <w:rFonts w:ascii="Arial" w:hAnsi="Arial"/>
          <w:b/>
          <w:u w:val="single"/>
        </w:rPr>
      </w:pPr>
    </w:p>
    <w:p w14:paraId="7B6B1232" w14:textId="77777777" w:rsidR="00706B2C" w:rsidRDefault="00706B2C" w:rsidP="00706B2C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To be published soon</w:t>
      </w:r>
    </w:p>
    <w:p w14:paraId="55A607EA" w14:textId="77777777" w:rsidR="00440B6B" w:rsidRDefault="00440B6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sectPr w:rsidR="00440B6B">
      <w:headerReference w:type="default" r:id="rId11"/>
      <w:pgSz w:w="12240" w:h="15840" w:code="1"/>
      <w:pgMar w:top="1440" w:right="1440" w:bottom="1152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601F5" w14:textId="77777777" w:rsidR="00415DC6" w:rsidRDefault="00415DC6">
      <w:r>
        <w:separator/>
      </w:r>
    </w:p>
  </w:endnote>
  <w:endnote w:type="continuationSeparator" w:id="0">
    <w:p w14:paraId="12DA91BC" w14:textId="77777777" w:rsidR="00415DC6" w:rsidRDefault="0041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oper Lt BT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A90AB" w14:textId="77777777" w:rsidR="00415DC6" w:rsidRDefault="00415DC6">
      <w:r>
        <w:separator/>
      </w:r>
    </w:p>
  </w:footnote>
  <w:footnote w:type="continuationSeparator" w:id="0">
    <w:p w14:paraId="60EB5E1C" w14:textId="77777777" w:rsidR="00415DC6" w:rsidRDefault="00415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Layout w:type="fixed"/>
      <w:tblLook w:val="0000" w:firstRow="0" w:lastRow="0" w:firstColumn="0" w:lastColumn="0" w:noHBand="0" w:noVBand="0"/>
    </w:tblPr>
    <w:tblGrid>
      <w:gridCol w:w="10188"/>
    </w:tblGrid>
    <w:tr w:rsidR="002235C1" w14:paraId="7A25A9D4" w14:textId="77777777" w:rsidTr="00F252DD">
      <w:tblPrEx>
        <w:tblCellMar>
          <w:top w:w="0" w:type="dxa"/>
          <w:bottom w:w="0" w:type="dxa"/>
        </w:tblCellMar>
      </w:tblPrEx>
      <w:trPr>
        <w:cantSplit/>
      </w:trPr>
      <w:tc>
        <w:tcPr>
          <w:tcW w:w="10188" w:type="dxa"/>
          <w:tcBorders>
            <w:bottom w:val="double" w:sz="6" w:space="0" w:color="auto"/>
          </w:tcBorders>
        </w:tcPr>
        <w:p w14:paraId="66E85584" w14:textId="77777777" w:rsidR="002235C1" w:rsidRDefault="002235C1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Minutes and Action Form</w:t>
          </w:r>
        </w:p>
      </w:tc>
    </w:tr>
  </w:tbl>
  <w:p w14:paraId="11F1140B" w14:textId="77777777" w:rsidR="002235C1" w:rsidRDefault="002235C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B18FA"/>
    <w:multiLevelType w:val="singleLevel"/>
    <w:tmpl w:val="1F9E6B8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8641778"/>
    <w:multiLevelType w:val="hybridMultilevel"/>
    <w:tmpl w:val="365CCB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7071F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8951015"/>
    <w:multiLevelType w:val="hybridMultilevel"/>
    <w:tmpl w:val="949C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873A2"/>
    <w:multiLevelType w:val="hybridMultilevel"/>
    <w:tmpl w:val="5622D9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B532779"/>
    <w:multiLevelType w:val="hybridMultilevel"/>
    <w:tmpl w:val="A926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D6F6D"/>
    <w:multiLevelType w:val="hybridMultilevel"/>
    <w:tmpl w:val="0014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064187">
    <w:abstractNumId w:val="2"/>
  </w:num>
  <w:num w:numId="2" w16cid:durableId="187414765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9070889">
    <w:abstractNumId w:val="1"/>
  </w:num>
  <w:num w:numId="4" w16cid:durableId="405347076">
    <w:abstractNumId w:val="4"/>
  </w:num>
  <w:num w:numId="5" w16cid:durableId="221068112">
    <w:abstractNumId w:val="3"/>
  </w:num>
  <w:num w:numId="6" w16cid:durableId="896477122">
    <w:abstractNumId w:val="6"/>
  </w:num>
  <w:num w:numId="7" w16cid:durableId="1902522709">
    <w:abstractNumId w:val="5"/>
  </w:num>
  <w:num w:numId="8" w16cid:durableId="114146579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6061"/>
    <w:rsid w:val="0002596F"/>
    <w:rsid w:val="00027958"/>
    <w:rsid w:val="00041320"/>
    <w:rsid w:val="000739FC"/>
    <w:rsid w:val="000B6F24"/>
    <w:rsid w:val="001052DE"/>
    <w:rsid w:val="00171B5A"/>
    <w:rsid w:val="001A6061"/>
    <w:rsid w:val="001B086E"/>
    <w:rsid w:val="001C567A"/>
    <w:rsid w:val="001C7F14"/>
    <w:rsid w:val="001E5A92"/>
    <w:rsid w:val="002235C1"/>
    <w:rsid w:val="0023033B"/>
    <w:rsid w:val="00271CB8"/>
    <w:rsid w:val="00274FB9"/>
    <w:rsid w:val="00287A32"/>
    <w:rsid w:val="002B0B97"/>
    <w:rsid w:val="002D185D"/>
    <w:rsid w:val="002E0C12"/>
    <w:rsid w:val="003751BD"/>
    <w:rsid w:val="00380616"/>
    <w:rsid w:val="003F23D5"/>
    <w:rsid w:val="00415DC6"/>
    <w:rsid w:val="00440B6B"/>
    <w:rsid w:val="004D59DB"/>
    <w:rsid w:val="004E4D46"/>
    <w:rsid w:val="005578D5"/>
    <w:rsid w:val="00577E6E"/>
    <w:rsid w:val="0060238F"/>
    <w:rsid w:val="00615CBF"/>
    <w:rsid w:val="006202C9"/>
    <w:rsid w:val="006B57B0"/>
    <w:rsid w:val="006D3CFF"/>
    <w:rsid w:val="006D7D75"/>
    <w:rsid w:val="00706B2C"/>
    <w:rsid w:val="007C0169"/>
    <w:rsid w:val="007F78B9"/>
    <w:rsid w:val="00825717"/>
    <w:rsid w:val="008302DA"/>
    <w:rsid w:val="00867D0D"/>
    <w:rsid w:val="00882CCA"/>
    <w:rsid w:val="008A367C"/>
    <w:rsid w:val="008A511C"/>
    <w:rsid w:val="008C4E94"/>
    <w:rsid w:val="008D026E"/>
    <w:rsid w:val="008D232C"/>
    <w:rsid w:val="008F6CB5"/>
    <w:rsid w:val="008F6E7D"/>
    <w:rsid w:val="0094494D"/>
    <w:rsid w:val="00952244"/>
    <w:rsid w:val="009B24B7"/>
    <w:rsid w:val="009C43E6"/>
    <w:rsid w:val="009E1E7D"/>
    <w:rsid w:val="009E5797"/>
    <w:rsid w:val="00A14246"/>
    <w:rsid w:val="00A505D6"/>
    <w:rsid w:val="00AA21D9"/>
    <w:rsid w:val="00AB1B5D"/>
    <w:rsid w:val="00AD4B7F"/>
    <w:rsid w:val="00B11B8E"/>
    <w:rsid w:val="00B17490"/>
    <w:rsid w:val="00B54427"/>
    <w:rsid w:val="00B6210E"/>
    <w:rsid w:val="00B64556"/>
    <w:rsid w:val="00B93088"/>
    <w:rsid w:val="00C10225"/>
    <w:rsid w:val="00C43563"/>
    <w:rsid w:val="00C4435C"/>
    <w:rsid w:val="00C47477"/>
    <w:rsid w:val="00C62FC3"/>
    <w:rsid w:val="00C75225"/>
    <w:rsid w:val="00D428B0"/>
    <w:rsid w:val="00D70219"/>
    <w:rsid w:val="00D962A4"/>
    <w:rsid w:val="00DB6FBA"/>
    <w:rsid w:val="00E55146"/>
    <w:rsid w:val="00EA6BC2"/>
    <w:rsid w:val="00EB24A0"/>
    <w:rsid w:val="00F13147"/>
    <w:rsid w:val="00F22972"/>
    <w:rsid w:val="00F23062"/>
    <w:rsid w:val="00F252DD"/>
    <w:rsid w:val="00FA772F"/>
    <w:rsid w:val="00FC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A879965"/>
  <w15:chartTrackingRefBased/>
  <w15:docId w15:val="{AC77663F-3E65-4862-9A83-6203D764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oper Lt BT" w:hAnsi="Cooper Lt BT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oper Lt BT" w:hAnsi="Cooper Lt BT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right="-135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31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ct%20Management\Bprojmgt\MPS%20Team\Templates%20&amp;%20Tool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3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Effort Name:	</vt:lpstr>
    </vt:vector>
  </TitlesOfParts>
  <Company>Pacific Bell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Effort Name:</dc:title>
  <dc:subject/>
  <dc:creator>John Culver</dc:creator>
  <cp:keywords/>
  <dc:description/>
  <cp:lastModifiedBy>Doherty, Michael</cp:lastModifiedBy>
  <cp:revision>2</cp:revision>
  <cp:lastPrinted>2002-03-05T22:03:00Z</cp:lastPrinted>
  <dcterms:created xsi:type="dcterms:W3CDTF">2023-06-16T19:57:00Z</dcterms:created>
  <dcterms:modified xsi:type="dcterms:W3CDTF">2023-06-16T19:57:00Z</dcterms:modified>
</cp:coreProperties>
</file>