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2D4B439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5ECB0BDE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FF43DE">
        <w:rPr>
          <w:rFonts w:cstheme="minorHAnsi"/>
          <w:sz w:val="28"/>
          <w:szCs w:val="28"/>
        </w:rPr>
        <w:t>November</w:t>
      </w:r>
      <w:r w:rsidR="009D6C74">
        <w:rPr>
          <w:rFonts w:cstheme="minorHAnsi"/>
          <w:sz w:val="28"/>
          <w:szCs w:val="28"/>
        </w:rPr>
        <w:t xml:space="preserve"> </w:t>
      </w:r>
      <w:r w:rsidR="00B1244C">
        <w:rPr>
          <w:rFonts w:cstheme="minorHAnsi"/>
          <w:sz w:val="28"/>
          <w:szCs w:val="28"/>
        </w:rPr>
        <w:t>13</w:t>
      </w:r>
      <w:r w:rsidR="009D6C74">
        <w:rPr>
          <w:rFonts w:cstheme="minorHAnsi"/>
          <w:sz w:val="28"/>
          <w:szCs w:val="28"/>
        </w:rPr>
        <w:t xml:space="preserve">, </w:t>
      </w:r>
      <w:proofErr w:type="gramStart"/>
      <w:r w:rsidR="009D6C74">
        <w:rPr>
          <w:rFonts w:cstheme="minorHAnsi"/>
          <w:sz w:val="28"/>
          <w:szCs w:val="28"/>
        </w:rPr>
        <w:t>2023</w:t>
      </w:r>
      <w:proofErr w:type="gramEnd"/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</w:t>
      </w:r>
      <w:r w:rsidR="009D6C74">
        <w:rPr>
          <w:rFonts w:cstheme="minorHAnsi"/>
          <w:sz w:val="28"/>
          <w:szCs w:val="28"/>
        </w:rPr>
        <w:t>Mountain</w:t>
      </w:r>
      <w:r w:rsidRPr="00095622">
        <w:rPr>
          <w:rFonts w:cstheme="minorHAnsi"/>
          <w:sz w:val="28"/>
          <w:szCs w:val="28"/>
        </w:rPr>
        <w:t xml:space="preserve"> Time Zone)</w:t>
      </w:r>
    </w:p>
    <w:p w14:paraId="55B70E31" w14:textId="7DFC1D0A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Chairperson:</w:t>
      </w:r>
    </w:p>
    <w:p w14:paraId="6C2B0242" w14:textId="5178729D" w:rsidR="00FF33D2" w:rsidRPr="007059D8" w:rsidRDefault="007059D8" w:rsidP="00CE6366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</w:t>
      </w:r>
    </w:p>
    <w:p w14:paraId="778644A3" w14:textId="7D22CB08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</w:t>
      </w:r>
      <w:r w:rsidR="00DD1233">
        <w:rPr>
          <w:rFonts w:cs="Arial"/>
          <w:bCs/>
          <w:i/>
          <w:iCs/>
          <w:sz w:val="24"/>
          <w:szCs w:val="24"/>
        </w:rPr>
        <w:t>9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ED12A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115A1" w:rsidRPr="00531736" w14:paraId="594CFC0F" w14:textId="77777777" w:rsidTr="00ED12AA">
        <w:tc>
          <w:tcPr>
            <w:tcW w:w="467" w:type="dxa"/>
          </w:tcPr>
          <w:p w14:paraId="3E5A2799" w14:textId="5226EF68" w:rsidR="00F115A1" w:rsidRPr="001401BA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668999E5" w:rsidR="00F115A1" w:rsidRPr="00531736" w:rsidRDefault="00A21EE5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386ED8E" w14:textId="5CD8EFAD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A542646" w14:textId="1AD7B60F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6E37DABA" w14:textId="77777777" w:rsidTr="00ED12AA">
        <w:tc>
          <w:tcPr>
            <w:tcW w:w="467" w:type="dxa"/>
          </w:tcPr>
          <w:p w14:paraId="796EA0DD" w14:textId="1554BCA8" w:rsidR="00F115A1" w:rsidRPr="000B0695" w:rsidRDefault="00DD123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39004FD5" w:rsidR="00F115A1" w:rsidRPr="000B0695" w:rsidRDefault="00A21EE5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6D9ECD3B" w14:textId="6E52C687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Sreetal Brahmadevaiah</w:t>
            </w:r>
          </w:p>
        </w:tc>
        <w:tc>
          <w:tcPr>
            <w:tcW w:w="2598" w:type="dxa"/>
          </w:tcPr>
          <w:p w14:paraId="0034373D" w14:textId="34435B30" w:rsidR="00F115A1" w:rsidRPr="000B0695" w:rsidRDefault="00F47FC9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Transunion</w:t>
            </w:r>
          </w:p>
        </w:tc>
      </w:tr>
      <w:tr w:rsidR="00F115A1" w:rsidRPr="00531736" w14:paraId="0C411978" w14:textId="77777777" w:rsidTr="00ED12AA">
        <w:tc>
          <w:tcPr>
            <w:tcW w:w="467" w:type="dxa"/>
          </w:tcPr>
          <w:p w14:paraId="6FCEFAEB" w14:textId="1FC8FC39" w:rsidR="00F115A1" w:rsidRPr="000B0695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2D99C48C" w:rsidR="00F115A1" w:rsidRPr="000B0695" w:rsidRDefault="00F115A1" w:rsidP="00FF33D2">
            <w:pPr>
              <w:rPr>
                <w:rFonts w:cstheme="minorHAnsi"/>
                <w:bCs/>
              </w:rPr>
            </w:pPr>
            <w:proofErr w:type="spellStart"/>
            <w:r w:rsidRPr="000B0695">
              <w:rPr>
                <w:rFonts w:cstheme="minorHAnsi"/>
                <w:bCs/>
              </w:rPr>
              <w:t>Shawyna</w:t>
            </w:r>
            <w:proofErr w:type="spellEnd"/>
            <w:r w:rsidRPr="000B0695">
              <w:rPr>
                <w:rFonts w:cstheme="minorHAnsi"/>
                <w:bCs/>
              </w:rPr>
              <w:t xml:space="preserve"> Hanes</w:t>
            </w:r>
          </w:p>
        </w:tc>
        <w:tc>
          <w:tcPr>
            <w:tcW w:w="2331" w:type="dxa"/>
          </w:tcPr>
          <w:p w14:paraId="40866DED" w14:textId="09CBDE8D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0340195" w14:textId="7B029683" w:rsidR="00F115A1" w:rsidRPr="000B0695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6E4F20EF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740F5BC9" w14:textId="1FA74147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Verizon</w:t>
            </w:r>
          </w:p>
        </w:tc>
      </w:tr>
      <w:tr w:rsidR="00F115A1" w:rsidRPr="00531736" w14:paraId="6D78F9A7" w14:textId="77777777" w:rsidTr="00ED12AA">
        <w:tc>
          <w:tcPr>
            <w:tcW w:w="467" w:type="dxa"/>
          </w:tcPr>
          <w:p w14:paraId="1306E48D" w14:textId="5DD64AF5" w:rsidR="00F115A1" w:rsidRPr="000B0695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A7AA7F4" w14:textId="4E4C2849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1E89EDFF" w14:textId="04E9324A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7A5A7334" w:rsidR="00F115A1" w:rsidRPr="000B0695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CEC3D12" w14:textId="75D26FAE" w:rsidR="00F115A1" w:rsidRPr="000B0695" w:rsidRDefault="00CE63B3" w:rsidP="00FF33D2">
            <w:pPr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color w:val="000000"/>
              </w:rPr>
              <w:t>Deb/Verizon</w:t>
            </w:r>
          </w:p>
        </w:tc>
        <w:tc>
          <w:tcPr>
            <w:tcW w:w="2598" w:type="dxa"/>
          </w:tcPr>
          <w:p w14:paraId="7DEFA424" w14:textId="0FD0EF71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16154783548</w:t>
            </w:r>
          </w:p>
        </w:tc>
      </w:tr>
      <w:tr w:rsidR="00F115A1" w:rsidRPr="00531736" w14:paraId="1D4DAB78" w14:textId="77777777" w:rsidTr="00ED12AA">
        <w:tc>
          <w:tcPr>
            <w:tcW w:w="467" w:type="dxa"/>
          </w:tcPr>
          <w:p w14:paraId="059A5D0E" w14:textId="73C0687A" w:rsidR="00F115A1" w:rsidRPr="000B0695" w:rsidRDefault="00B1244C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1CB35DBF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5FEBDAE6" w14:textId="72B460A3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763997C5" w14:textId="69FE1647" w:rsidR="00F115A1" w:rsidRPr="000B0695" w:rsidRDefault="00DD1233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1A806830" w14:textId="0B28BB20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Steve Koch</w:t>
            </w:r>
          </w:p>
        </w:tc>
        <w:tc>
          <w:tcPr>
            <w:tcW w:w="2598" w:type="dxa"/>
          </w:tcPr>
          <w:p w14:paraId="4B29CA96" w14:textId="349F6B5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7442D38F" w14:textId="77777777" w:rsidTr="00ED12AA">
        <w:tc>
          <w:tcPr>
            <w:tcW w:w="467" w:type="dxa"/>
          </w:tcPr>
          <w:p w14:paraId="387AD65A" w14:textId="01D6C8B4" w:rsidR="00F115A1" w:rsidRPr="000B0695" w:rsidRDefault="00DD1233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B7E18A7" w14:textId="17DA8BB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0F84B655" w14:textId="259D669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153916D" w14:textId="72BB44B4" w:rsidR="00F115A1" w:rsidRPr="000B0695" w:rsidRDefault="00A21EE5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DFEE56E" w14:textId="1283E356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Matt Timmerman</w:t>
            </w:r>
          </w:p>
        </w:tc>
        <w:tc>
          <w:tcPr>
            <w:tcW w:w="2598" w:type="dxa"/>
          </w:tcPr>
          <w:p w14:paraId="26B476EB" w14:textId="68B51A9A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2B0A628D" w14:textId="77777777" w:rsidTr="00ED12AA">
        <w:tc>
          <w:tcPr>
            <w:tcW w:w="467" w:type="dxa"/>
          </w:tcPr>
          <w:p w14:paraId="3765EFE7" w14:textId="345AB37F" w:rsidR="00F115A1" w:rsidRPr="000B0695" w:rsidRDefault="00DD1233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CB14C67" w14:textId="5ABF64F0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18CD034E" w14:textId="6384B3BD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0C0492CB" w14:textId="019A28BD" w:rsidR="00F115A1" w:rsidRPr="000B0695" w:rsidRDefault="00DD1233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68025DA" w14:textId="7A0747A8" w:rsidR="00F115A1" w:rsidRPr="000B0695" w:rsidRDefault="00D86628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1D38E733" w14:textId="01746937" w:rsidR="00F115A1" w:rsidRPr="000B0695" w:rsidRDefault="00F47FC9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Transunion</w:t>
            </w:r>
          </w:p>
        </w:tc>
      </w:tr>
      <w:tr w:rsidR="00F115A1" w:rsidRPr="00531736" w14:paraId="631338DB" w14:textId="77777777" w:rsidTr="00ED12AA">
        <w:tc>
          <w:tcPr>
            <w:tcW w:w="467" w:type="dxa"/>
          </w:tcPr>
          <w:p w14:paraId="42BB0C03" w14:textId="08CD92B2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1CC89AB2" w14:textId="14CAE462" w:rsidR="00F115A1" w:rsidRPr="000B0695" w:rsidRDefault="00E654C1" w:rsidP="00F115A1">
            <w:pPr>
              <w:rPr>
                <w:rFonts w:cstheme="minorHAnsi"/>
                <w:bCs/>
              </w:rPr>
            </w:pPr>
            <w:r w:rsidRPr="00E654C1">
              <w:rPr>
                <w:rFonts w:cstheme="minorHAnsi"/>
                <w:bCs/>
              </w:rPr>
              <w:t>Tessa Whiteside</w:t>
            </w:r>
          </w:p>
        </w:tc>
        <w:tc>
          <w:tcPr>
            <w:tcW w:w="2331" w:type="dxa"/>
          </w:tcPr>
          <w:p w14:paraId="56E35CB4" w14:textId="72DBFE26" w:rsidR="00F115A1" w:rsidRPr="000B0695" w:rsidRDefault="00E654C1" w:rsidP="00F115A1">
            <w:pPr>
              <w:rPr>
                <w:rFonts w:cstheme="minorHAnsi"/>
                <w:bCs/>
              </w:rPr>
            </w:pPr>
            <w:r w:rsidRPr="00E654C1">
              <w:rPr>
                <w:rFonts w:cstheme="minorHAnsi"/>
                <w:bCs/>
              </w:rPr>
              <w:t>Telnyx</w:t>
            </w:r>
          </w:p>
        </w:tc>
        <w:tc>
          <w:tcPr>
            <w:tcW w:w="467" w:type="dxa"/>
          </w:tcPr>
          <w:p w14:paraId="6B684E83" w14:textId="3F919816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B98F1BA" w14:textId="4FCBEB84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557E230B" w14:textId="5D16FF9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16C6BC03" w14:textId="77777777" w:rsidTr="00ED12AA">
        <w:tc>
          <w:tcPr>
            <w:tcW w:w="467" w:type="dxa"/>
          </w:tcPr>
          <w:p w14:paraId="742EB834" w14:textId="54DF5D4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F5DA50B" w14:textId="4BC80E74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06916C7E" w14:textId="1B2A95F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13FBDAEB" w14:textId="56583F7C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12886D03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60437405" w14:textId="16CAD453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3054259E" w14:textId="77777777" w:rsidTr="00ED12AA">
        <w:tc>
          <w:tcPr>
            <w:tcW w:w="467" w:type="dxa"/>
          </w:tcPr>
          <w:p w14:paraId="2A91DAD3" w14:textId="79716069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617578DD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52658E46" w14:textId="72AA93F1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1D1004CC" w14:textId="100F442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7E402B85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B5AAAB9" w14:textId="7ED2966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10E644D6" w14:textId="77777777" w:rsidTr="00ED12AA">
        <w:tc>
          <w:tcPr>
            <w:tcW w:w="467" w:type="dxa"/>
          </w:tcPr>
          <w:p w14:paraId="3090D160" w14:textId="06D8D3A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EBD187B" w14:textId="358D7F80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776100E5" w14:textId="1061274C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5F6C45B4" w14:textId="6FE209B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4D9CD41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3A6D5F1A" w14:textId="1481E30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</w:tbl>
    <w:p w14:paraId="494BCDA8" w14:textId="77777777" w:rsidR="00DD3094" w:rsidRDefault="003E06E2" w:rsidP="00DD3094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DD3094">
        <w:rPr>
          <w:rFonts w:cstheme="minorHAnsi"/>
          <w:b/>
          <w:sz w:val="28"/>
          <w:szCs w:val="28"/>
        </w:rPr>
        <w:t>PIM 136 – LSMS Performance</w:t>
      </w:r>
    </w:p>
    <w:p w14:paraId="3601902C" w14:textId="37D1BB9B" w:rsidR="002A2512" w:rsidRPr="00E51E4F" w:rsidRDefault="00DD3094" w:rsidP="00DD3094">
      <w:pPr>
        <w:spacing w:after="0" w:line="240" w:lineRule="auto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>Requirements that need to be updated or addressed.</w:t>
      </w:r>
    </w:p>
    <w:p w14:paraId="2E17D24F" w14:textId="592745D4" w:rsidR="004B1379" w:rsidRPr="002D5E8F" w:rsidRDefault="00E25DF3" w:rsidP="00431F3E">
      <w:pPr>
        <w:numPr>
          <w:ilvl w:val="0"/>
          <w:numId w:val="2"/>
        </w:numPr>
        <w:ind w:left="1080"/>
        <w:rPr>
          <w:b/>
          <w:bCs/>
        </w:rPr>
      </w:pPr>
      <w:r>
        <w:rPr>
          <w:b/>
          <w:bCs/>
        </w:rPr>
        <w:t xml:space="preserve">Revised GOAL: </w:t>
      </w:r>
      <w:r w:rsidRPr="002A2512">
        <w:t xml:space="preserve">Per NPIF, this discussion is back with GUST to review.  </w:t>
      </w:r>
      <w:r w:rsidR="0026644D" w:rsidRPr="002A2512">
        <w:t>“New Action Item - GUST (chairperson - Cheryl F) to work with SPs and LNPA on recommendations for remaining open issues in GUST recommendations “</w:t>
      </w:r>
      <w:r w:rsidR="00022A22" w:rsidRPr="002A2512">
        <w:t>.</w:t>
      </w:r>
    </w:p>
    <w:p w14:paraId="335DEB9E" w14:textId="2125E95C" w:rsidR="004B1379" w:rsidRPr="002A2512" w:rsidRDefault="009D3E36" w:rsidP="00431F3E">
      <w:pPr>
        <w:ind w:left="720"/>
        <w:rPr>
          <w:b/>
          <w:bCs/>
        </w:rPr>
      </w:pPr>
      <w:r>
        <w:rPr>
          <w:b/>
          <w:bCs/>
        </w:rPr>
        <w:t>11</w:t>
      </w:r>
      <w:r w:rsidR="004B1379" w:rsidRPr="002A2512">
        <w:rPr>
          <w:b/>
          <w:bCs/>
        </w:rPr>
        <w:t>/</w:t>
      </w:r>
      <w:r w:rsidR="00B1244C">
        <w:rPr>
          <w:b/>
          <w:bCs/>
        </w:rPr>
        <w:t>13</w:t>
      </w:r>
      <w:r w:rsidR="004B1379" w:rsidRPr="002A2512">
        <w:rPr>
          <w:b/>
          <w:bCs/>
        </w:rPr>
        <w:t>/2023 GUST Meeting Discussion:</w:t>
      </w:r>
    </w:p>
    <w:p w14:paraId="50BE5C42" w14:textId="581B86F4" w:rsidR="003276CF" w:rsidRDefault="008A4B26" w:rsidP="00431F3E">
      <w:pPr>
        <w:pStyle w:val="ListParagraph"/>
        <w:numPr>
          <w:ilvl w:val="0"/>
          <w:numId w:val="5"/>
        </w:numPr>
        <w:ind w:left="1080"/>
      </w:pPr>
      <w:r w:rsidRPr="00A043FF">
        <w:t xml:space="preserve">Reviewed the </w:t>
      </w:r>
      <w:r w:rsidR="004F0748" w:rsidRPr="00A043FF">
        <w:t>updated</w:t>
      </w:r>
      <w:r w:rsidRPr="00A043FF">
        <w:t xml:space="preserve"> data </w:t>
      </w:r>
      <w:r w:rsidR="00A15D30" w:rsidRPr="00A043FF">
        <w:t xml:space="preserve">provided by </w:t>
      </w:r>
      <w:r w:rsidR="000303D4" w:rsidRPr="00A043FF">
        <w:rPr>
          <w:rFonts w:cstheme="minorHAnsi"/>
          <w:bCs/>
        </w:rPr>
        <w:t>iconectiv</w:t>
      </w:r>
      <w:r w:rsidR="000303D4" w:rsidRPr="00A043FF">
        <w:t xml:space="preserve"> </w:t>
      </w:r>
      <w:r w:rsidR="00A15D30" w:rsidRPr="00A043FF">
        <w:t xml:space="preserve">regarding the April-May-June timeframe (Please note </w:t>
      </w:r>
      <w:r w:rsidR="003276CF" w:rsidRPr="00A043FF">
        <w:t>time zone</w:t>
      </w:r>
      <w:r w:rsidR="00A15D30" w:rsidRPr="00A043FF">
        <w:t xml:space="preserve"> is GMT)</w:t>
      </w:r>
    </w:p>
    <w:p w14:paraId="0E847EF0" w14:textId="14E9137F" w:rsidR="00445B37" w:rsidRPr="00A043FF" w:rsidRDefault="005A7FD1" w:rsidP="00431F3E">
      <w:pPr>
        <w:ind w:left="720"/>
      </w:pPr>
      <w:r>
        <w:object w:dxaOrig="1508" w:dyaOrig="984" w14:anchorId="4C9DB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8" o:title=""/>
          </v:shape>
          <o:OLEObject Type="Embed" ProgID="Excel.Sheet.12" ShapeID="_x0000_i1029" DrawAspect="Icon" ObjectID="_1765956774" r:id="rId9"/>
        </w:object>
      </w:r>
    </w:p>
    <w:p w14:paraId="423207C4" w14:textId="77777777" w:rsidR="00B1244C" w:rsidRDefault="00B1244C" w:rsidP="00431F3E">
      <w:pPr>
        <w:pStyle w:val="ListParagraph"/>
        <w:numPr>
          <w:ilvl w:val="0"/>
          <w:numId w:val="5"/>
        </w:numPr>
        <w:ind w:left="1080"/>
      </w:pPr>
      <w:r>
        <w:t>Discussion opened with the Large Project Port Activity spreadsheet and review</w:t>
      </w:r>
      <w:r w:rsidR="00623371" w:rsidRPr="00A043FF">
        <w:t>.</w:t>
      </w:r>
    </w:p>
    <w:p w14:paraId="3BA2D64D" w14:textId="566A0EC5" w:rsidR="005B45AF" w:rsidRDefault="00670482" w:rsidP="00431F3E">
      <w:pPr>
        <w:pStyle w:val="ListParagraph"/>
        <w:numPr>
          <w:ilvl w:val="0"/>
          <w:numId w:val="5"/>
        </w:numPr>
        <w:ind w:left="1080"/>
      </w:pPr>
      <w:r>
        <w:t>Michael from i</w:t>
      </w:r>
      <w:r w:rsidR="005B45AF">
        <w:t>c</w:t>
      </w:r>
      <w:r>
        <w:t xml:space="preserve">onectiv shared the Large Project Porting Activity for the time frame in question.  They shared the outreach for the impact on local systems, </w:t>
      </w:r>
      <w:r w:rsidRPr="00CD7EFD">
        <w:t xml:space="preserve">and the associated business needs.  </w:t>
      </w:r>
    </w:p>
    <w:p w14:paraId="3D853D39" w14:textId="33CF880B" w:rsidR="00670482" w:rsidRPr="00CD7EFD" w:rsidRDefault="005B45AF" w:rsidP="00431F3E">
      <w:pPr>
        <w:ind w:left="720"/>
      </w:pPr>
      <w:r>
        <w:object w:dxaOrig="1508" w:dyaOrig="984" w14:anchorId="510934C1">
          <v:shape id="_x0000_i1026" type="#_x0000_t75" style="width:75.5pt;height:49pt" o:ole="">
            <v:imagedata r:id="rId10" o:title=""/>
          </v:shape>
          <o:OLEObject Type="Embed" ProgID="PowerPoint.Show.12" ShapeID="_x0000_i1026" DrawAspect="Icon" ObjectID="_1765956775" r:id="rId11"/>
        </w:object>
      </w:r>
    </w:p>
    <w:p w14:paraId="5510556F" w14:textId="74E77EE6" w:rsidR="008F4AD4" w:rsidRDefault="005B45AF" w:rsidP="00431F3E">
      <w:pPr>
        <w:pStyle w:val="ListParagraph"/>
        <w:numPr>
          <w:ilvl w:val="0"/>
          <w:numId w:val="5"/>
        </w:numPr>
        <w:ind w:left="1080"/>
      </w:pPr>
      <w:r>
        <w:t>Short duration high transaction rates are don’t always cause</w:t>
      </w:r>
      <w:r w:rsidR="00B1244C" w:rsidRPr="00CD7EFD">
        <w:t xml:space="preserve"> local systems to fail</w:t>
      </w:r>
      <w:r>
        <w:t>.</w:t>
      </w:r>
      <w:r w:rsidR="00B1244C" w:rsidRPr="00CD7EFD">
        <w:t xml:space="preserve"> </w:t>
      </w:r>
      <w:r>
        <w:t xml:space="preserve"> O</w:t>
      </w:r>
      <w:r w:rsidR="00B1244C" w:rsidRPr="00CD7EFD">
        <w:t xml:space="preserve">ngoing constant </w:t>
      </w:r>
      <w:r>
        <w:t>high transaction rates</w:t>
      </w:r>
      <w:r w:rsidR="00F54EDD" w:rsidRPr="00CD7EFD">
        <w:t xml:space="preserve"> in </w:t>
      </w:r>
      <w:r>
        <w:t>several</w:t>
      </w:r>
      <w:r w:rsidR="00F54EDD" w:rsidRPr="00CD7EFD">
        <w:t xml:space="preserve"> regions</w:t>
      </w:r>
      <w:r w:rsidR="00B1244C" w:rsidRPr="00CD7EFD">
        <w:t xml:space="preserve"> </w:t>
      </w:r>
      <w:r>
        <w:t xml:space="preserve">simultaneously appear to </w:t>
      </w:r>
      <w:r w:rsidR="00B1244C" w:rsidRPr="00CD7EFD">
        <w:t>caus</w:t>
      </w:r>
      <w:r>
        <w:t>e</w:t>
      </w:r>
      <w:r w:rsidR="00B1244C" w:rsidRPr="00CD7EFD">
        <w:t xml:space="preserve"> </w:t>
      </w:r>
      <w:r>
        <w:t xml:space="preserve">more </w:t>
      </w:r>
      <w:r w:rsidR="00B1244C" w:rsidRPr="00CD7EFD">
        <w:t>failures</w:t>
      </w:r>
      <w:r w:rsidR="00CD7EFD">
        <w:t xml:space="preserve"> downstream</w:t>
      </w:r>
      <w:r w:rsidR="00717B51">
        <w:t xml:space="preserve">. There was some discussion as to </w:t>
      </w:r>
      <w:r w:rsidR="00B9227A">
        <w:t>whether</w:t>
      </w:r>
      <w:r w:rsidR="00717B51">
        <w:t xml:space="preserve"> the initial testing done to </w:t>
      </w:r>
      <w:r w:rsidR="00717B51">
        <w:lastRenderedPageBreak/>
        <w:t>increase the rates in 2010 had limitations on how many consecutive regions could run at the same time, but this could not be confirmed.</w:t>
      </w:r>
      <w:r w:rsidR="00CD7EFD">
        <w:t xml:space="preserve"> </w:t>
      </w:r>
      <w:r w:rsidR="00B1244C" w:rsidRPr="00CD7EFD">
        <w:t>These are two separate issues</w:t>
      </w:r>
      <w:r w:rsidR="00FF23FD" w:rsidRPr="00CD7EFD">
        <w:t xml:space="preserve">. </w:t>
      </w:r>
      <w:r w:rsidR="001526CF">
        <w:t>We</w:t>
      </w:r>
      <w:r w:rsidR="00B1244C" w:rsidRPr="00CD7EFD">
        <w:t xml:space="preserve"> are currently at 7 </w:t>
      </w:r>
      <w:proofErr w:type="spellStart"/>
      <w:r w:rsidR="00B1244C" w:rsidRPr="00CD7EFD">
        <w:t>tps</w:t>
      </w:r>
      <w:proofErr w:type="spellEnd"/>
      <w:r w:rsidR="00B1244C" w:rsidRPr="00CD7EFD">
        <w:t xml:space="preserve"> and have been for </w:t>
      </w:r>
      <w:r w:rsidR="00670CE6">
        <w:t>over 10</w:t>
      </w:r>
      <w:r w:rsidR="00B1244C" w:rsidRPr="00CD7EFD">
        <w:t xml:space="preserve"> years.</w:t>
      </w:r>
      <w:r w:rsidR="001526CF">
        <w:t xml:space="preserve"> </w:t>
      </w:r>
    </w:p>
    <w:p w14:paraId="3CA1E591" w14:textId="77777777" w:rsidR="00431F3E" w:rsidRDefault="00670CE6" w:rsidP="00431F3E">
      <w:pPr>
        <w:pStyle w:val="ListParagraph"/>
        <w:numPr>
          <w:ilvl w:val="0"/>
          <w:numId w:val="5"/>
        </w:numPr>
        <w:ind w:left="1080"/>
      </w:pPr>
      <w:r>
        <w:t xml:space="preserve">Pulling the discussion back to how we </w:t>
      </w:r>
      <w:r w:rsidR="00357B5D">
        <w:t xml:space="preserve">plan to propose to calculate the transactions. </w:t>
      </w:r>
      <w:r w:rsidR="00EF58EF">
        <w:t xml:space="preserve">SPs are asked to </w:t>
      </w:r>
      <w:r w:rsidR="003471DA">
        <w:t xml:space="preserve">weigh in on the current proposals on how we should calculate the </w:t>
      </w:r>
      <w:proofErr w:type="spellStart"/>
      <w:r w:rsidR="003471DA">
        <w:t>tps</w:t>
      </w:r>
      <w:proofErr w:type="spellEnd"/>
      <w:r w:rsidR="003471DA">
        <w:t xml:space="preserve"> rate in terms of CMIP and XML</w:t>
      </w:r>
      <w:r w:rsidR="00D2197B">
        <w:t>.  Attaching a copy of the meeting minutes with the summary of the groups progress and the final questions we returned to the larger group for assistance on answering.</w:t>
      </w:r>
    </w:p>
    <w:p w14:paraId="377B521E" w14:textId="4F4F9F5F" w:rsidR="00670CE6" w:rsidRPr="00CD7EFD" w:rsidRDefault="00D2197B" w:rsidP="00431F3E">
      <w:pPr>
        <w:ind w:left="720"/>
      </w:pPr>
      <w:r>
        <w:t xml:space="preserve"> </w:t>
      </w:r>
      <w:bookmarkStart w:id="0" w:name="_MON_1762583523"/>
      <w:bookmarkEnd w:id="0"/>
      <w:r w:rsidR="00BE5EF9">
        <w:object w:dxaOrig="1520" w:dyaOrig="987" w14:anchorId="4B73CC3B">
          <v:shape id="_x0000_i1027" type="#_x0000_t75" style="width:77pt;height:49pt" o:ole="">
            <v:imagedata r:id="rId12" o:title=""/>
          </v:shape>
          <o:OLEObject Type="Embed" ProgID="Word.Document.12" ShapeID="_x0000_i1027" DrawAspect="Icon" ObjectID="_1765956776" r:id="rId13">
            <o:FieldCodes>\s</o:FieldCodes>
          </o:OLEObject>
        </w:object>
      </w:r>
    </w:p>
    <w:p w14:paraId="106B477B" w14:textId="4335DBB7" w:rsidR="00DD3094" w:rsidRDefault="00DD3094" w:rsidP="00DD3094">
      <w:pPr>
        <w:rPr>
          <w:rFonts w:cstheme="minorHAnsi"/>
          <w:b/>
          <w:sz w:val="28"/>
          <w:szCs w:val="32"/>
        </w:rPr>
      </w:pPr>
      <w:r w:rsidRPr="00C77D93">
        <w:rPr>
          <w:rFonts w:cstheme="minorHAnsi"/>
          <w:b/>
          <w:sz w:val="28"/>
          <w:szCs w:val="32"/>
        </w:rPr>
        <w:t>Action Items</w:t>
      </w:r>
      <w:r w:rsidR="000717C9">
        <w:rPr>
          <w:rFonts w:cstheme="minorHAnsi"/>
          <w:b/>
          <w:sz w:val="28"/>
          <w:szCs w:val="32"/>
        </w:rPr>
        <w:t>:</w:t>
      </w:r>
    </w:p>
    <w:p w14:paraId="5FFE0F54" w14:textId="3ABA8E59" w:rsidR="00891651" w:rsidRDefault="00891651" w:rsidP="0089165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bCs/>
        </w:rPr>
      </w:pPr>
      <w:bookmarkStart w:id="1" w:name="_Hlk149310442"/>
      <w:r>
        <w:rPr>
          <w:rFonts w:cstheme="minorHAnsi"/>
          <w:bCs/>
        </w:rPr>
        <w:t xml:space="preserve">The LNPA will </w:t>
      </w:r>
      <w:r w:rsidR="000303D4">
        <w:rPr>
          <w:rFonts w:cstheme="minorHAnsi"/>
          <w:bCs/>
        </w:rPr>
        <w:t>continue to compile</w:t>
      </w:r>
      <w:r>
        <w:rPr>
          <w:rFonts w:cstheme="minorHAnsi"/>
          <w:bCs/>
        </w:rPr>
        <w:t xml:space="preserve"> </w:t>
      </w:r>
      <w:proofErr w:type="spellStart"/>
      <w:r w:rsidR="00A53372">
        <w:t>tps</w:t>
      </w:r>
      <w:proofErr w:type="spellEnd"/>
      <w:r w:rsidR="00A53372">
        <w:t xml:space="preserve"> </w:t>
      </w:r>
      <w:r w:rsidR="00FA09A6">
        <w:t xml:space="preserve">and related </w:t>
      </w:r>
      <w:r>
        <w:rPr>
          <w:rFonts w:cstheme="minorHAnsi"/>
          <w:bCs/>
        </w:rPr>
        <w:t xml:space="preserve">data for the April-May-June 2023 timeframe and match that to local system </w:t>
      </w:r>
      <w:r w:rsidR="00B84FAD">
        <w:rPr>
          <w:rFonts w:cstheme="minorHAnsi"/>
          <w:bCs/>
        </w:rPr>
        <w:t>outages.</w:t>
      </w:r>
    </w:p>
    <w:p w14:paraId="309EFC3B" w14:textId="0ED0B2EE" w:rsidR="00891651" w:rsidRDefault="00891651" w:rsidP="0089165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cstheme="minorHAnsi"/>
          <w:bCs/>
        </w:rPr>
        <w:t xml:space="preserve">The LNPA will </w:t>
      </w:r>
      <w:r w:rsidR="007C1FFC">
        <w:rPr>
          <w:rFonts w:cstheme="minorHAnsi"/>
          <w:bCs/>
        </w:rPr>
        <w:t xml:space="preserve">continue to </w:t>
      </w:r>
      <w:r>
        <w:rPr>
          <w:rFonts w:cstheme="minorHAnsi"/>
          <w:bCs/>
        </w:rPr>
        <w:t xml:space="preserve">compile additional detail (and anonymize) about the business purposes/needs for the large port projects during the April-May-June 2023 </w:t>
      </w:r>
      <w:r w:rsidR="00B84FAD">
        <w:rPr>
          <w:rFonts w:cstheme="minorHAnsi"/>
          <w:bCs/>
        </w:rPr>
        <w:t>timeframe.</w:t>
      </w:r>
      <w:r w:rsidR="00010294">
        <w:rPr>
          <w:rFonts w:cstheme="minorHAnsi"/>
          <w:bCs/>
        </w:rPr>
        <w:t xml:space="preserve"> Update to this should be available next week.</w:t>
      </w:r>
      <w:r>
        <w:rPr>
          <w:rFonts w:cstheme="minorHAnsi"/>
          <w:bCs/>
        </w:rPr>
        <w:t xml:space="preserve"> </w:t>
      </w:r>
      <w:r>
        <w:rPr>
          <w:rFonts w:ascii="Times New Roman" w:hAnsi="Times New Roman"/>
        </w:rPr>
        <w:t xml:space="preserve"> </w:t>
      </w:r>
    </w:p>
    <w:bookmarkEnd w:id="1"/>
    <w:p w14:paraId="4EF90D25" w14:textId="557F78A9" w:rsidR="000717C9" w:rsidRPr="00891651" w:rsidRDefault="000717C9" w:rsidP="00891651">
      <w:pPr>
        <w:pStyle w:val="ListParagraph"/>
        <w:numPr>
          <w:ilvl w:val="0"/>
          <w:numId w:val="3"/>
        </w:numPr>
        <w:spacing w:before="120" w:after="0" w:line="240" w:lineRule="auto"/>
        <w:rPr>
          <w:rFonts w:cstheme="minorHAnsi"/>
          <w:bCs/>
        </w:rPr>
      </w:pPr>
      <w:r w:rsidRPr="00891651">
        <w:rPr>
          <w:rFonts w:cstheme="minorHAnsi"/>
          <w:bCs/>
        </w:rPr>
        <w:t xml:space="preserve">SPs are asked to provide additional data on the impact to downstream </w:t>
      </w:r>
      <w:r w:rsidR="00133444">
        <w:rPr>
          <w:rFonts w:cstheme="minorHAnsi"/>
          <w:bCs/>
        </w:rPr>
        <w:t>systems</w:t>
      </w:r>
      <w:r w:rsidR="00022A22" w:rsidRPr="00891651">
        <w:rPr>
          <w:rFonts w:cstheme="minorHAnsi"/>
          <w:bCs/>
        </w:rPr>
        <w:t>.</w:t>
      </w:r>
    </w:p>
    <w:p w14:paraId="59C2BE2D" w14:textId="0FF8AD98" w:rsidR="00E36913" w:rsidRPr="00F30390" w:rsidRDefault="00DD3094" w:rsidP="003D4B91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  <w:r w:rsidRPr="00F30390">
        <w:rPr>
          <w:rFonts w:cstheme="minorHAnsi"/>
          <w:b/>
          <w:strike/>
          <w:sz w:val="28"/>
          <w:szCs w:val="32"/>
        </w:rPr>
        <w:t xml:space="preserve">Next Meeting: </w:t>
      </w:r>
      <w:r w:rsidR="000717C9" w:rsidRPr="00F30390">
        <w:rPr>
          <w:rFonts w:cstheme="minorHAnsi"/>
          <w:b/>
          <w:strike/>
          <w:sz w:val="28"/>
          <w:szCs w:val="32"/>
        </w:rPr>
        <w:tab/>
      </w:r>
      <w:r w:rsidRPr="00F30390">
        <w:rPr>
          <w:rFonts w:cstheme="minorHAnsi"/>
          <w:b/>
          <w:strike/>
          <w:color w:val="FF0000"/>
          <w:sz w:val="28"/>
          <w:szCs w:val="32"/>
        </w:rPr>
        <w:t xml:space="preserve">Monday, </w:t>
      </w:r>
      <w:r w:rsidR="00B3245D" w:rsidRPr="00F30390">
        <w:rPr>
          <w:rFonts w:cstheme="minorHAnsi"/>
          <w:b/>
          <w:strike/>
          <w:color w:val="FF0000"/>
          <w:sz w:val="28"/>
          <w:szCs w:val="32"/>
        </w:rPr>
        <w:t>November</w:t>
      </w:r>
      <w:r w:rsidR="000717C9" w:rsidRPr="00F30390">
        <w:rPr>
          <w:rFonts w:cstheme="minorHAnsi"/>
          <w:b/>
          <w:strike/>
          <w:color w:val="FF0000"/>
          <w:sz w:val="28"/>
          <w:szCs w:val="32"/>
        </w:rPr>
        <w:t xml:space="preserve"> </w:t>
      </w:r>
      <w:r w:rsidR="00F30390" w:rsidRPr="00F30390">
        <w:rPr>
          <w:rFonts w:cstheme="minorHAnsi"/>
          <w:b/>
          <w:strike/>
          <w:color w:val="FF0000"/>
          <w:sz w:val="28"/>
          <w:szCs w:val="32"/>
        </w:rPr>
        <w:t>20</w:t>
      </w:r>
      <w:r w:rsidRPr="00F30390">
        <w:rPr>
          <w:rFonts w:cstheme="minorHAnsi"/>
          <w:b/>
          <w:strike/>
          <w:color w:val="FF0000"/>
          <w:sz w:val="28"/>
          <w:szCs w:val="32"/>
        </w:rPr>
        <w:t xml:space="preserve">, </w:t>
      </w:r>
      <w:r w:rsidR="003D4B91" w:rsidRPr="00F30390">
        <w:rPr>
          <w:rFonts w:cstheme="minorHAnsi"/>
          <w:b/>
          <w:strike/>
          <w:color w:val="FF0000"/>
          <w:sz w:val="28"/>
          <w:szCs w:val="32"/>
        </w:rPr>
        <w:t>2023,</w:t>
      </w:r>
      <w:r w:rsidRPr="00F30390">
        <w:rPr>
          <w:rFonts w:cstheme="minorHAnsi"/>
          <w:b/>
          <w:strike/>
          <w:color w:val="FF0000"/>
          <w:sz w:val="28"/>
          <w:szCs w:val="32"/>
        </w:rPr>
        <w:t xml:space="preserve"> </w:t>
      </w:r>
      <w:r w:rsidR="000717C9" w:rsidRPr="00F30390">
        <w:rPr>
          <w:rFonts w:cstheme="minorHAnsi"/>
          <w:b/>
          <w:strike/>
          <w:color w:val="FF0000"/>
          <w:sz w:val="28"/>
          <w:szCs w:val="32"/>
        </w:rPr>
        <w:t>2</w:t>
      </w:r>
      <w:r w:rsidRPr="00F30390">
        <w:rPr>
          <w:rFonts w:cstheme="minorHAnsi"/>
          <w:b/>
          <w:strike/>
          <w:color w:val="FF0000"/>
          <w:sz w:val="28"/>
          <w:szCs w:val="32"/>
        </w:rPr>
        <w:t>:00-</w:t>
      </w:r>
      <w:r w:rsidR="000717C9" w:rsidRPr="00F30390">
        <w:rPr>
          <w:rFonts w:cstheme="minorHAnsi"/>
          <w:b/>
          <w:strike/>
          <w:color w:val="FF0000"/>
          <w:sz w:val="28"/>
          <w:szCs w:val="32"/>
        </w:rPr>
        <w:t>3</w:t>
      </w:r>
      <w:r w:rsidRPr="00F30390">
        <w:rPr>
          <w:rFonts w:cstheme="minorHAnsi"/>
          <w:b/>
          <w:strike/>
          <w:color w:val="FF0000"/>
          <w:sz w:val="28"/>
          <w:szCs w:val="32"/>
        </w:rPr>
        <w:t>:00</w:t>
      </w:r>
      <w:r w:rsidR="000717C9" w:rsidRPr="00F30390">
        <w:rPr>
          <w:rFonts w:cstheme="minorHAnsi"/>
          <w:b/>
          <w:strike/>
          <w:color w:val="FF0000"/>
          <w:sz w:val="28"/>
          <w:szCs w:val="32"/>
        </w:rPr>
        <w:t xml:space="preserve"> PM </w:t>
      </w:r>
      <w:proofErr w:type="gramStart"/>
      <w:r w:rsidR="000717C9" w:rsidRPr="00F30390">
        <w:rPr>
          <w:rFonts w:cstheme="minorHAnsi"/>
          <w:b/>
          <w:strike/>
          <w:color w:val="FF0000"/>
          <w:sz w:val="28"/>
          <w:szCs w:val="32"/>
        </w:rPr>
        <w:t>MST</w:t>
      </w:r>
      <w:r w:rsidR="00F30390">
        <w:rPr>
          <w:rFonts w:cstheme="minorHAnsi"/>
          <w:b/>
          <w:strike/>
          <w:color w:val="FF0000"/>
          <w:sz w:val="28"/>
          <w:szCs w:val="32"/>
        </w:rPr>
        <w:t xml:space="preserve">  </w:t>
      </w:r>
      <w:r w:rsidR="00F30390" w:rsidRPr="00F30390">
        <w:rPr>
          <w:rFonts w:cstheme="minorHAnsi"/>
          <w:b/>
          <w:sz w:val="28"/>
          <w:szCs w:val="32"/>
        </w:rPr>
        <w:t>CANCELLED</w:t>
      </w:r>
      <w:proofErr w:type="gramEnd"/>
    </w:p>
    <w:p w14:paraId="032414AA" w14:textId="077969B6" w:rsidR="00F30390" w:rsidRPr="001A0743" w:rsidRDefault="00F30390" w:rsidP="00F30390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Pr="00D03191">
        <w:rPr>
          <w:rFonts w:cstheme="minorHAnsi"/>
          <w:b/>
          <w:sz w:val="28"/>
          <w:szCs w:val="32"/>
        </w:rPr>
        <w:t xml:space="preserve"> Meeting</w:t>
      </w:r>
      <w:r>
        <w:rPr>
          <w:rFonts w:cstheme="minorHAnsi"/>
          <w:b/>
          <w:sz w:val="28"/>
          <w:szCs w:val="32"/>
        </w:rPr>
        <w:t xml:space="preserve">: </w:t>
      </w:r>
      <w:r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color w:val="FF0000"/>
          <w:sz w:val="28"/>
          <w:szCs w:val="32"/>
        </w:rPr>
        <w:t>Mond</w:t>
      </w:r>
      <w:r w:rsidRPr="008266F4">
        <w:rPr>
          <w:rFonts w:cstheme="minorHAnsi"/>
          <w:b/>
          <w:color w:val="FF0000"/>
          <w:sz w:val="28"/>
          <w:szCs w:val="32"/>
        </w:rPr>
        <w:t xml:space="preserve">ay, </w:t>
      </w:r>
      <w:r>
        <w:rPr>
          <w:rFonts w:cstheme="minorHAnsi"/>
          <w:b/>
          <w:color w:val="FF0000"/>
          <w:sz w:val="28"/>
          <w:szCs w:val="32"/>
        </w:rPr>
        <w:t>November 27, 2023,</w:t>
      </w:r>
      <w:r w:rsidRPr="008266F4">
        <w:rPr>
          <w:rFonts w:cstheme="minorHAnsi"/>
          <w:b/>
          <w:color w:val="FF0000"/>
          <w:sz w:val="28"/>
          <w:szCs w:val="32"/>
        </w:rPr>
        <w:t xml:space="preserve"> </w:t>
      </w:r>
      <w:r>
        <w:rPr>
          <w:rFonts w:cstheme="minorHAnsi"/>
          <w:b/>
          <w:color w:val="FF0000"/>
          <w:sz w:val="28"/>
          <w:szCs w:val="32"/>
        </w:rPr>
        <w:t>2</w:t>
      </w:r>
      <w:r w:rsidRPr="008266F4">
        <w:rPr>
          <w:rFonts w:cstheme="minorHAnsi"/>
          <w:b/>
          <w:color w:val="FF0000"/>
          <w:sz w:val="28"/>
          <w:szCs w:val="32"/>
        </w:rPr>
        <w:t>:00-</w:t>
      </w:r>
      <w:r>
        <w:rPr>
          <w:rFonts w:cstheme="minorHAnsi"/>
          <w:b/>
          <w:color w:val="FF0000"/>
          <w:sz w:val="28"/>
          <w:szCs w:val="32"/>
        </w:rPr>
        <w:t>3:00 PM MST</w:t>
      </w:r>
    </w:p>
    <w:p w14:paraId="43392A99" w14:textId="77777777" w:rsidR="00F30390" w:rsidRPr="001A0743" w:rsidRDefault="00F30390" w:rsidP="003D4B91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</w:p>
    <w:sectPr w:rsidR="00F30390" w:rsidRPr="001A0743" w:rsidSect="00C22FA3">
      <w:footerReference w:type="defaul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80C5" w14:textId="77777777" w:rsidR="001A13F6" w:rsidRDefault="001A13F6" w:rsidP="00CA35E6">
      <w:pPr>
        <w:spacing w:after="0" w:line="240" w:lineRule="auto"/>
      </w:pPr>
      <w:r>
        <w:separator/>
      </w:r>
    </w:p>
  </w:endnote>
  <w:endnote w:type="continuationSeparator" w:id="0">
    <w:p w14:paraId="44A96C77" w14:textId="77777777" w:rsidR="001A13F6" w:rsidRDefault="001A13F6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A0CB" w14:textId="3719F86B" w:rsidR="005B17B6" w:rsidRDefault="005B1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E435" w14:textId="77777777" w:rsidR="001A13F6" w:rsidRDefault="001A13F6" w:rsidP="00CA35E6">
      <w:pPr>
        <w:spacing w:after="0" w:line="240" w:lineRule="auto"/>
      </w:pPr>
      <w:r>
        <w:separator/>
      </w:r>
    </w:p>
  </w:footnote>
  <w:footnote w:type="continuationSeparator" w:id="0">
    <w:p w14:paraId="0A9DB55C" w14:textId="77777777" w:rsidR="001A13F6" w:rsidRDefault="001A13F6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506"/>
    <w:multiLevelType w:val="hybridMultilevel"/>
    <w:tmpl w:val="B96A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C5590"/>
    <w:multiLevelType w:val="hybridMultilevel"/>
    <w:tmpl w:val="822C7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CE50D8"/>
    <w:multiLevelType w:val="hybridMultilevel"/>
    <w:tmpl w:val="E41ED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158D"/>
    <w:multiLevelType w:val="hybridMultilevel"/>
    <w:tmpl w:val="102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55B3"/>
    <w:multiLevelType w:val="hybridMultilevel"/>
    <w:tmpl w:val="F90AC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1949321">
    <w:abstractNumId w:val="2"/>
  </w:num>
  <w:num w:numId="2" w16cid:durableId="1394502869">
    <w:abstractNumId w:val="0"/>
  </w:num>
  <w:num w:numId="3" w16cid:durableId="1083838854">
    <w:abstractNumId w:val="4"/>
  </w:num>
  <w:num w:numId="4" w16cid:durableId="1709913172">
    <w:abstractNumId w:val="3"/>
  </w:num>
  <w:num w:numId="5" w16cid:durableId="13612775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1BA8"/>
    <w:rsid w:val="00006618"/>
    <w:rsid w:val="00010294"/>
    <w:rsid w:val="00012709"/>
    <w:rsid w:val="00016169"/>
    <w:rsid w:val="0001672E"/>
    <w:rsid w:val="00022643"/>
    <w:rsid w:val="00022A22"/>
    <w:rsid w:val="00022D4F"/>
    <w:rsid w:val="0002566D"/>
    <w:rsid w:val="000303D4"/>
    <w:rsid w:val="00030B6B"/>
    <w:rsid w:val="00032D19"/>
    <w:rsid w:val="00034076"/>
    <w:rsid w:val="00034A16"/>
    <w:rsid w:val="00035A48"/>
    <w:rsid w:val="00041E4F"/>
    <w:rsid w:val="000430A2"/>
    <w:rsid w:val="00044AD7"/>
    <w:rsid w:val="00046434"/>
    <w:rsid w:val="00047278"/>
    <w:rsid w:val="00056B71"/>
    <w:rsid w:val="00061A88"/>
    <w:rsid w:val="00061C32"/>
    <w:rsid w:val="0006253E"/>
    <w:rsid w:val="0006307D"/>
    <w:rsid w:val="000717C9"/>
    <w:rsid w:val="00072F62"/>
    <w:rsid w:val="00074E2F"/>
    <w:rsid w:val="0008445D"/>
    <w:rsid w:val="000864E9"/>
    <w:rsid w:val="00087157"/>
    <w:rsid w:val="00087A33"/>
    <w:rsid w:val="00096228"/>
    <w:rsid w:val="0009762B"/>
    <w:rsid w:val="00097C67"/>
    <w:rsid w:val="000A523C"/>
    <w:rsid w:val="000B0695"/>
    <w:rsid w:val="000B7C58"/>
    <w:rsid w:val="000C16B0"/>
    <w:rsid w:val="000C22BE"/>
    <w:rsid w:val="000C3C6F"/>
    <w:rsid w:val="000C62D5"/>
    <w:rsid w:val="000D24A5"/>
    <w:rsid w:val="000D428C"/>
    <w:rsid w:val="000E27C8"/>
    <w:rsid w:val="000E3612"/>
    <w:rsid w:val="000E419E"/>
    <w:rsid w:val="000F1D82"/>
    <w:rsid w:val="000F6BE4"/>
    <w:rsid w:val="000F7C37"/>
    <w:rsid w:val="001010F1"/>
    <w:rsid w:val="00102742"/>
    <w:rsid w:val="00133444"/>
    <w:rsid w:val="00134726"/>
    <w:rsid w:val="00136073"/>
    <w:rsid w:val="001401BA"/>
    <w:rsid w:val="001416BB"/>
    <w:rsid w:val="001420BE"/>
    <w:rsid w:val="00143D8C"/>
    <w:rsid w:val="00146B41"/>
    <w:rsid w:val="00147B6D"/>
    <w:rsid w:val="001526CF"/>
    <w:rsid w:val="00157D39"/>
    <w:rsid w:val="00157FB8"/>
    <w:rsid w:val="00163123"/>
    <w:rsid w:val="0017668B"/>
    <w:rsid w:val="0018398A"/>
    <w:rsid w:val="00187583"/>
    <w:rsid w:val="00190C07"/>
    <w:rsid w:val="00192793"/>
    <w:rsid w:val="001A0743"/>
    <w:rsid w:val="001A13F6"/>
    <w:rsid w:val="001A438B"/>
    <w:rsid w:val="001A788A"/>
    <w:rsid w:val="001A7E03"/>
    <w:rsid w:val="001B2771"/>
    <w:rsid w:val="001B42BB"/>
    <w:rsid w:val="001B567F"/>
    <w:rsid w:val="001B5A73"/>
    <w:rsid w:val="001C225A"/>
    <w:rsid w:val="001C5569"/>
    <w:rsid w:val="001D2E9C"/>
    <w:rsid w:val="001D5C2D"/>
    <w:rsid w:val="001E2586"/>
    <w:rsid w:val="001E736C"/>
    <w:rsid w:val="001F0FAA"/>
    <w:rsid w:val="002018C4"/>
    <w:rsid w:val="00221314"/>
    <w:rsid w:val="002244F4"/>
    <w:rsid w:val="00224F76"/>
    <w:rsid w:val="002264BA"/>
    <w:rsid w:val="00240ED7"/>
    <w:rsid w:val="00242391"/>
    <w:rsid w:val="002423F2"/>
    <w:rsid w:val="00245277"/>
    <w:rsid w:val="00247121"/>
    <w:rsid w:val="00250061"/>
    <w:rsid w:val="0025348C"/>
    <w:rsid w:val="0025421C"/>
    <w:rsid w:val="00255822"/>
    <w:rsid w:val="002560FA"/>
    <w:rsid w:val="002612F2"/>
    <w:rsid w:val="002613D2"/>
    <w:rsid w:val="002644AA"/>
    <w:rsid w:val="0026644D"/>
    <w:rsid w:val="00273261"/>
    <w:rsid w:val="00274D4F"/>
    <w:rsid w:val="00276BE3"/>
    <w:rsid w:val="002833FC"/>
    <w:rsid w:val="00283B13"/>
    <w:rsid w:val="00284397"/>
    <w:rsid w:val="00284436"/>
    <w:rsid w:val="0028510C"/>
    <w:rsid w:val="0028756E"/>
    <w:rsid w:val="0028757A"/>
    <w:rsid w:val="002911B5"/>
    <w:rsid w:val="00297906"/>
    <w:rsid w:val="00297FE6"/>
    <w:rsid w:val="002A2512"/>
    <w:rsid w:val="002A4FD7"/>
    <w:rsid w:val="002A6694"/>
    <w:rsid w:val="002A7A95"/>
    <w:rsid w:val="002B5C35"/>
    <w:rsid w:val="002B7014"/>
    <w:rsid w:val="002B76F8"/>
    <w:rsid w:val="002D053F"/>
    <w:rsid w:val="002D1A4E"/>
    <w:rsid w:val="002D4FD2"/>
    <w:rsid w:val="002D5E8F"/>
    <w:rsid w:val="002D71E8"/>
    <w:rsid w:val="002E476B"/>
    <w:rsid w:val="002F1265"/>
    <w:rsid w:val="002F3203"/>
    <w:rsid w:val="002F3968"/>
    <w:rsid w:val="00300737"/>
    <w:rsid w:val="00303086"/>
    <w:rsid w:val="00305339"/>
    <w:rsid w:val="00321C29"/>
    <w:rsid w:val="003265B6"/>
    <w:rsid w:val="00327549"/>
    <w:rsid w:val="003276CF"/>
    <w:rsid w:val="00340A4C"/>
    <w:rsid w:val="00342CA2"/>
    <w:rsid w:val="003471DA"/>
    <w:rsid w:val="00347DD0"/>
    <w:rsid w:val="003517FA"/>
    <w:rsid w:val="00352F8A"/>
    <w:rsid w:val="00357804"/>
    <w:rsid w:val="00357B5D"/>
    <w:rsid w:val="00362A63"/>
    <w:rsid w:val="00363DA0"/>
    <w:rsid w:val="003771AD"/>
    <w:rsid w:val="00377814"/>
    <w:rsid w:val="003818B9"/>
    <w:rsid w:val="003855DA"/>
    <w:rsid w:val="00385FF5"/>
    <w:rsid w:val="003870AE"/>
    <w:rsid w:val="003907C2"/>
    <w:rsid w:val="0039563B"/>
    <w:rsid w:val="00395B15"/>
    <w:rsid w:val="00395CF2"/>
    <w:rsid w:val="003A394D"/>
    <w:rsid w:val="003A5BBC"/>
    <w:rsid w:val="003B1C2F"/>
    <w:rsid w:val="003B3121"/>
    <w:rsid w:val="003C271F"/>
    <w:rsid w:val="003C36B0"/>
    <w:rsid w:val="003C7DA1"/>
    <w:rsid w:val="003D4B91"/>
    <w:rsid w:val="003E06E2"/>
    <w:rsid w:val="003E667F"/>
    <w:rsid w:val="003F05D5"/>
    <w:rsid w:val="0040008D"/>
    <w:rsid w:val="00400AD4"/>
    <w:rsid w:val="004012ED"/>
    <w:rsid w:val="004058E5"/>
    <w:rsid w:val="00405E4C"/>
    <w:rsid w:val="004122E1"/>
    <w:rsid w:val="00413A7A"/>
    <w:rsid w:val="00424081"/>
    <w:rsid w:val="00426C55"/>
    <w:rsid w:val="00431F3E"/>
    <w:rsid w:val="00437672"/>
    <w:rsid w:val="004409E0"/>
    <w:rsid w:val="00442EA1"/>
    <w:rsid w:val="004446A3"/>
    <w:rsid w:val="0044484B"/>
    <w:rsid w:val="00445B37"/>
    <w:rsid w:val="00450DFB"/>
    <w:rsid w:val="00456389"/>
    <w:rsid w:val="00456FBF"/>
    <w:rsid w:val="0046681F"/>
    <w:rsid w:val="00481D7A"/>
    <w:rsid w:val="004832F4"/>
    <w:rsid w:val="00484DC7"/>
    <w:rsid w:val="00485006"/>
    <w:rsid w:val="004925BA"/>
    <w:rsid w:val="00492A78"/>
    <w:rsid w:val="00492C6F"/>
    <w:rsid w:val="004A1760"/>
    <w:rsid w:val="004B1379"/>
    <w:rsid w:val="004B367B"/>
    <w:rsid w:val="004B6DB2"/>
    <w:rsid w:val="004C3B6F"/>
    <w:rsid w:val="004D5176"/>
    <w:rsid w:val="004E2DB8"/>
    <w:rsid w:val="004E473E"/>
    <w:rsid w:val="004E76C7"/>
    <w:rsid w:val="004F0748"/>
    <w:rsid w:val="004F1F92"/>
    <w:rsid w:val="004F60D1"/>
    <w:rsid w:val="004F6914"/>
    <w:rsid w:val="00510671"/>
    <w:rsid w:val="0051320D"/>
    <w:rsid w:val="00514638"/>
    <w:rsid w:val="005157DF"/>
    <w:rsid w:val="005165AA"/>
    <w:rsid w:val="00517F7A"/>
    <w:rsid w:val="00522958"/>
    <w:rsid w:val="00524100"/>
    <w:rsid w:val="00531736"/>
    <w:rsid w:val="00531C57"/>
    <w:rsid w:val="00532213"/>
    <w:rsid w:val="005337CF"/>
    <w:rsid w:val="00534657"/>
    <w:rsid w:val="00536349"/>
    <w:rsid w:val="005411BA"/>
    <w:rsid w:val="00554E44"/>
    <w:rsid w:val="00556A23"/>
    <w:rsid w:val="00562429"/>
    <w:rsid w:val="00563ACC"/>
    <w:rsid w:val="00576A6F"/>
    <w:rsid w:val="00577B2A"/>
    <w:rsid w:val="00591112"/>
    <w:rsid w:val="005920D3"/>
    <w:rsid w:val="0059280E"/>
    <w:rsid w:val="00592CBB"/>
    <w:rsid w:val="005974EE"/>
    <w:rsid w:val="005A7FD1"/>
    <w:rsid w:val="005B13F7"/>
    <w:rsid w:val="005B17B6"/>
    <w:rsid w:val="005B45AF"/>
    <w:rsid w:val="005B5149"/>
    <w:rsid w:val="005B592D"/>
    <w:rsid w:val="005B6B1A"/>
    <w:rsid w:val="005C1B89"/>
    <w:rsid w:val="005C35E7"/>
    <w:rsid w:val="005C43B9"/>
    <w:rsid w:val="005C767C"/>
    <w:rsid w:val="005D029D"/>
    <w:rsid w:val="005E163F"/>
    <w:rsid w:val="005E4470"/>
    <w:rsid w:val="005F1A73"/>
    <w:rsid w:val="005F7344"/>
    <w:rsid w:val="00601BBC"/>
    <w:rsid w:val="0060320A"/>
    <w:rsid w:val="00603368"/>
    <w:rsid w:val="00605B9B"/>
    <w:rsid w:val="00606107"/>
    <w:rsid w:val="0061713D"/>
    <w:rsid w:val="006204DC"/>
    <w:rsid w:val="00623371"/>
    <w:rsid w:val="00626791"/>
    <w:rsid w:val="00630931"/>
    <w:rsid w:val="006311D0"/>
    <w:rsid w:val="00631C82"/>
    <w:rsid w:val="00636EC3"/>
    <w:rsid w:val="00656BBC"/>
    <w:rsid w:val="006647DC"/>
    <w:rsid w:val="00664DAA"/>
    <w:rsid w:val="00670482"/>
    <w:rsid w:val="00670CE6"/>
    <w:rsid w:val="00671A6F"/>
    <w:rsid w:val="00673F56"/>
    <w:rsid w:val="00691BDB"/>
    <w:rsid w:val="006A4176"/>
    <w:rsid w:val="006A449E"/>
    <w:rsid w:val="006B44C9"/>
    <w:rsid w:val="006C2A0B"/>
    <w:rsid w:val="006C4AB1"/>
    <w:rsid w:val="006D05E1"/>
    <w:rsid w:val="006D3E36"/>
    <w:rsid w:val="006D6AA8"/>
    <w:rsid w:val="006E2879"/>
    <w:rsid w:val="006E2EA3"/>
    <w:rsid w:val="006E7B0C"/>
    <w:rsid w:val="006F34D2"/>
    <w:rsid w:val="00700A5F"/>
    <w:rsid w:val="00701D16"/>
    <w:rsid w:val="0070362A"/>
    <w:rsid w:val="007059D8"/>
    <w:rsid w:val="00717B51"/>
    <w:rsid w:val="0072354E"/>
    <w:rsid w:val="00724DFD"/>
    <w:rsid w:val="00726EA1"/>
    <w:rsid w:val="007277C6"/>
    <w:rsid w:val="0073046E"/>
    <w:rsid w:val="00730F03"/>
    <w:rsid w:val="00731977"/>
    <w:rsid w:val="00733219"/>
    <w:rsid w:val="00733556"/>
    <w:rsid w:val="00733A6A"/>
    <w:rsid w:val="0074065E"/>
    <w:rsid w:val="00743DD1"/>
    <w:rsid w:val="00754268"/>
    <w:rsid w:val="00761465"/>
    <w:rsid w:val="0076461B"/>
    <w:rsid w:val="00766BD3"/>
    <w:rsid w:val="00771491"/>
    <w:rsid w:val="007742D0"/>
    <w:rsid w:val="007775DF"/>
    <w:rsid w:val="0078031B"/>
    <w:rsid w:val="00786250"/>
    <w:rsid w:val="00791CB5"/>
    <w:rsid w:val="00795758"/>
    <w:rsid w:val="00796030"/>
    <w:rsid w:val="007966A3"/>
    <w:rsid w:val="00797A7E"/>
    <w:rsid w:val="007A3F04"/>
    <w:rsid w:val="007A4A92"/>
    <w:rsid w:val="007A7EF6"/>
    <w:rsid w:val="007C1FFC"/>
    <w:rsid w:val="007C3F75"/>
    <w:rsid w:val="007D0044"/>
    <w:rsid w:val="007D26BD"/>
    <w:rsid w:val="007E46B5"/>
    <w:rsid w:val="007E76EE"/>
    <w:rsid w:val="007F1493"/>
    <w:rsid w:val="007F615D"/>
    <w:rsid w:val="007F6A4A"/>
    <w:rsid w:val="008056ED"/>
    <w:rsid w:val="008161DA"/>
    <w:rsid w:val="00816931"/>
    <w:rsid w:val="008204B3"/>
    <w:rsid w:val="008266F4"/>
    <w:rsid w:val="00827C23"/>
    <w:rsid w:val="00831855"/>
    <w:rsid w:val="008405EC"/>
    <w:rsid w:val="008468A8"/>
    <w:rsid w:val="00846BC9"/>
    <w:rsid w:val="008510DA"/>
    <w:rsid w:val="00854C1C"/>
    <w:rsid w:val="00855875"/>
    <w:rsid w:val="00855A6D"/>
    <w:rsid w:val="00855DB4"/>
    <w:rsid w:val="00860712"/>
    <w:rsid w:val="00867D83"/>
    <w:rsid w:val="00880537"/>
    <w:rsid w:val="00887D83"/>
    <w:rsid w:val="00891651"/>
    <w:rsid w:val="008963FE"/>
    <w:rsid w:val="00897285"/>
    <w:rsid w:val="00897977"/>
    <w:rsid w:val="008A4B26"/>
    <w:rsid w:val="008A5359"/>
    <w:rsid w:val="008A6A7D"/>
    <w:rsid w:val="008B1076"/>
    <w:rsid w:val="008B3E44"/>
    <w:rsid w:val="008B7488"/>
    <w:rsid w:val="008D1272"/>
    <w:rsid w:val="008D15E8"/>
    <w:rsid w:val="008D1907"/>
    <w:rsid w:val="008D4FC0"/>
    <w:rsid w:val="008D7801"/>
    <w:rsid w:val="008E1B5C"/>
    <w:rsid w:val="008E2D1D"/>
    <w:rsid w:val="008E3DEE"/>
    <w:rsid w:val="008E5055"/>
    <w:rsid w:val="008F026C"/>
    <w:rsid w:val="008F337E"/>
    <w:rsid w:val="008F4AD4"/>
    <w:rsid w:val="00903BE5"/>
    <w:rsid w:val="00912D39"/>
    <w:rsid w:val="00913E46"/>
    <w:rsid w:val="0091691A"/>
    <w:rsid w:val="009176AA"/>
    <w:rsid w:val="00921421"/>
    <w:rsid w:val="00923B34"/>
    <w:rsid w:val="00924A60"/>
    <w:rsid w:val="00926CA4"/>
    <w:rsid w:val="00934087"/>
    <w:rsid w:val="009354A2"/>
    <w:rsid w:val="009376B6"/>
    <w:rsid w:val="00937742"/>
    <w:rsid w:val="009436E0"/>
    <w:rsid w:val="0094385B"/>
    <w:rsid w:val="00944637"/>
    <w:rsid w:val="00945CDD"/>
    <w:rsid w:val="0094737B"/>
    <w:rsid w:val="00951B45"/>
    <w:rsid w:val="00957C1D"/>
    <w:rsid w:val="009674EB"/>
    <w:rsid w:val="0098796B"/>
    <w:rsid w:val="00992AF1"/>
    <w:rsid w:val="00997FFB"/>
    <w:rsid w:val="009A3C51"/>
    <w:rsid w:val="009B1CEC"/>
    <w:rsid w:val="009B257D"/>
    <w:rsid w:val="009B6632"/>
    <w:rsid w:val="009B6709"/>
    <w:rsid w:val="009C0CB4"/>
    <w:rsid w:val="009C47D6"/>
    <w:rsid w:val="009D2810"/>
    <w:rsid w:val="009D2B3D"/>
    <w:rsid w:val="009D3E36"/>
    <w:rsid w:val="009D3F01"/>
    <w:rsid w:val="009D51FE"/>
    <w:rsid w:val="009D574C"/>
    <w:rsid w:val="009D6C74"/>
    <w:rsid w:val="009E1760"/>
    <w:rsid w:val="009E3C98"/>
    <w:rsid w:val="009F613E"/>
    <w:rsid w:val="009F6734"/>
    <w:rsid w:val="00A00E57"/>
    <w:rsid w:val="00A00FFC"/>
    <w:rsid w:val="00A0124C"/>
    <w:rsid w:val="00A01CC9"/>
    <w:rsid w:val="00A02AFD"/>
    <w:rsid w:val="00A043FF"/>
    <w:rsid w:val="00A055A4"/>
    <w:rsid w:val="00A10B04"/>
    <w:rsid w:val="00A112FD"/>
    <w:rsid w:val="00A15D30"/>
    <w:rsid w:val="00A17CAD"/>
    <w:rsid w:val="00A21EE5"/>
    <w:rsid w:val="00A2339A"/>
    <w:rsid w:val="00A23600"/>
    <w:rsid w:val="00A31F85"/>
    <w:rsid w:val="00A46D45"/>
    <w:rsid w:val="00A53372"/>
    <w:rsid w:val="00A629C2"/>
    <w:rsid w:val="00A63616"/>
    <w:rsid w:val="00A64396"/>
    <w:rsid w:val="00A6740D"/>
    <w:rsid w:val="00A720DE"/>
    <w:rsid w:val="00A7459A"/>
    <w:rsid w:val="00A75F5D"/>
    <w:rsid w:val="00A832CE"/>
    <w:rsid w:val="00A85EF6"/>
    <w:rsid w:val="00A87DFE"/>
    <w:rsid w:val="00A90A1F"/>
    <w:rsid w:val="00A968F1"/>
    <w:rsid w:val="00AA202A"/>
    <w:rsid w:val="00AA35D9"/>
    <w:rsid w:val="00AA7960"/>
    <w:rsid w:val="00AB074E"/>
    <w:rsid w:val="00AB0F89"/>
    <w:rsid w:val="00AB6336"/>
    <w:rsid w:val="00AB774E"/>
    <w:rsid w:val="00AC170B"/>
    <w:rsid w:val="00AC26D0"/>
    <w:rsid w:val="00AC5ABB"/>
    <w:rsid w:val="00AD06B4"/>
    <w:rsid w:val="00AD0DAB"/>
    <w:rsid w:val="00AD2566"/>
    <w:rsid w:val="00AD3E85"/>
    <w:rsid w:val="00AE524E"/>
    <w:rsid w:val="00AF7531"/>
    <w:rsid w:val="00AF7E0B"/>
    <w:rsid w:val="00B011B0"/>
    <w:rsid w:val="00B046F6"/>
    <w:rsid w:val="00B07373"/>
    <w:rsid w:val="00B12441"/>
    <w:rsid w:val="00B1244C"/>
    <w:rsid w:val="00B14A8A"/>
    <w:rsid w:val="00B2708A"/>
    <w:rsid w:val="00B27EAF"/>
    <w:rsid w:val="00B3245D"/>
    <w:rsid w:val="00B325AF"/>
    <w:rsid w:val="00B34DFA"/>
    <w:rsid w:val="00B3714B"/>
    <w:rsid w:val="00B43DA3"/>
    <w:rsid w:val="00B52EDF"/>
    <w:rsid w:val="00B6246A"/>
    <w:rsid w:val="00B640BA"/>
    <w:rsid w:val="00B65735"/>
    <w:rsid w:val="00B7507B"/>
    <w:rsid w:val="00B7790F"/>
    <w:rsid w:val="00B84FAD"/>
    <w:rsid w:val="00B86293"/>
    <w:rsid w:val="00B87628"/>
    <w:rsid w:val="00B9227A"/>
    <w:rsid w:val="00B92EDD"/>
    <w:rsid w:val="00B941ED"/>
    <w:rsid w:val="00B95549"/>
    <w:rsid w:val="00B978CC"/>
    <w:rsid w:val="00BA22EC"/>
    <w:rsid w:val="00BA3846"/>
    <w:rsid w:val="00BB09C9"/>
    <w:rsid w:val="00BB4DEA"/>
    <w:rsid w:val="00BB5DFC"/>
    <w:rsid w:val="00BC12EA"/>
    <w:rsid w:val="00BE39EB"/>
    <w:rsid w:val="00BE5EF9"/>
    <w:rsid w:val="00BE7F2A"/>
    <w:rsid w:val="00C100AA"/>
    <w:rsid w:val="00C14407"/>
    <w:rsid w:val="00C20C8F"/>
    <w:rsid w:val="00C2273F"/>
    <w:rsid w:val="00C22FA3"/>
    <w:rsid w:val="00C31ECE"/>
    <w:rsid w:val="00C32B51"/>
    <w:rsid w:val="00C41841"/>
    <w:rsid w:val="00C41E04"/>
    <w:rsid w:val="00C42A48"/>
    <w:rsid w:val="00C471F7"/>
    <w:rsid w:val="00C47A85"/>
    <w:rsid w:val="00C53BA5"/>
    <w:rsid w:val="00C54818"/>
    <w:rsid w:val="00C5599F"/>
    <w:rsid w:val="00C63C57"/>
    <w:rsid w:val="00C63D37"/>
    <w:rsid w:val="00C7191A"/>
    <w:rsid w:val="00C75023"/>
    <w:rsid w:val="00C77D93"/>
    <w:rsid w:val="00C81660"/>
    <w:rsid w:val="00C86904"/>
    <w:rsid w:val="00CA053C"/>
    <w:rsid w:val="00CA35E6"/>
    <w:rsid w:val="00CB3913"/>
    <w:rsid w:val="00CB4F19"/>
    <w:rsid w:val="00CC0DC8"/>
    <w:rsid w:val="00CC2E0C"/>
    <w:rsid w:val="00CC4263"/>
    <w:rsid w:val="00CC4DE5"/>
    <w:rsid w:val="00CC5594"/>
    <w:rsid w:val="00CC5C6E"/>
    <w:rsid w:val="00CC5D61"/>
    <w:rsid w:val="00CC7F7B"/>
    <w:rsid w:val="00CD7EFD"/>
    <w:rsid w:val="00CE6366"/>
    <w:rsid w:val="00CE63B3"/>
    <w:rsid w:val="00CF1C5B"/>
    <w:rsid w:val="00CF2926"/>
    <w:rsid w:val="00CF46A0"/>
    <w:rsid w:val="00CF5BCF"/>
    <w:rsid w:val="00CF7D0F"/>
    <w:rsid w:val="00D05C10"/>
    <w:rsid w:val="00D11001"/>
    <w:rsid w:val="00D11D6C"/>
    <w:rsid w:val="00D128CD"/>
    <w:rsid w:val="00D13F91"/>
    <w:rsid w:val="00D14909"/>
    <w:rsid w:val="00D15667"/>
    <w:rsid w:val="00D171E7"/>
    <w:rsid w:val="00D20900"/>
    <w:rsid w:val="00D2197B"/>
    <w:rsid w:val="00D30D97"/>
    <w:rsid w:val="00D321CD"/>
    <w:rsid w:val="00D35E16"/>
    <w:rsid w:val="00D3725C"/>
    <w:rsid w:val="00D4240A"/>
    <w:rsid w:val="00D50F5F"/>
    <w:rsid w:val="00D55546"/>
    <w:rsid w:val="00D61706"/>
    <w:rsid w:val="00D63BD9"/>
    <w:rsid w:val="00D66760"/>
    <w:rsid w:val="00D67D4C"/>
    <w:rsid w:val="00D67EC6"/>
    <w:rsid w:val="00D74A57"/>
    <w:rsid w:val="00D84547"/>
    <w:rsid w:val="00D86628"/>
    <w:rsid w:val="00D9323B"/>
    <w:rsid w:val="00D96592"/>
    <w:rsid w:val="00DA2C6A"/>
    <w:rsid w:val="00DB1DEB"/>
    <w:rsid w:val="00DC0EEF"/>
    <w:rsid w:val="00DC5125"/>
    <w:rsid w:val="00DC7635"/>
    <w:rsid w:val="00DD1233"/>
    <w:rsid w:val="00DD18F9"/>
    <w:rsid w:val="00DD3094"/>
    <w:rsid w:val="00DE206D"/>
    <w:rsid w:val="00DE4AE2"/>
    <w:rsid w:val="00DE6EEE"/>
    <w:rsid w:val="00DF1C8B"/>
    <w:rsid w:val="00DF518A"/>
    <w:rsid w:val="00DF59AD"/>
    <w:rsid w:val="00DF6F4B"/>
    <w:rsid w:val="00E0094D"/>
    <w:rsid w:val="00E00B2F"/>
    <w:rsid w:val="00E02F4C"/>
    <w:rsid w:val="00E039EA"/>
    <w:rsid w:val="00E04114"/>
    <w:rsid w:val="00E114C4"/>
    <w:rsid w:val="00E11978"/>
    <w:rsid w:val="00E14F2E"/>
    <w:rsid w:val="00E174DA"/>
    <w:rsid w:val="00E2011A"/>
    <w:rsid w:val="00E20F6A"/>
    <w:rsid w:val="00E24925"/>
    <w:rsid w:val="00E25DF3"/>
    <w:rsid w:val="00E32C20"/>
    <w:rsid w:val="00E36913"/>
    <w:rsid w:val="00E41413"/>
    <w:rsid w:val="00E51E4F"/>
    <w:rsid w:val="00E52ECE"/>
    <w:rsid w:val="00E574C2"/>
    <w:rsid w:val="00E627A3"/>
    <w:rsid w:val="00E64533"/>
    <w:rsid w:val="00E64B8C"/>
    <w:rsid w:val="00E654C1"/>
    <w:rsid w:val="00E66CAC"/>
    <w:rsid w:val="00E6777C"/>
    <w:rsid w:val="00E72D12"/>
    <w:rsid w:val="00E72F76"/>
    <w:rsid w:val="00E73710"/>
    <w:rsid w:val="00E753E1"/>
    <w:rsid w:val="00E77665"/>
    <w:rsid w:val="00E778FE"/>
    <w:rsid w:val="00E82C9D"/>
    <w:rsid w:val="00E966A8"/>
    <w:rsid w:val="00EA1A74"/>
    <w:rsid w:val="00EB17A7"/>
    <w:rsid w:val="00EC1091"/>
    <w:rsid w:val="00EC4C58"/>
    <w:rsid w:val="00ED12AA"/>
    <w:rsid w:val="00ED2054"/>
    <w:rsid w:val="00ED40A3"/>
    <w:rsid w:val="00EE45B5"/>
    <w:rsid w:val="00EE4697"/>
    <w:rsid w:val="00EF0287"/>
    <w:rsid w:val="00EF58EF"/>
    <w:rsid w:val="00EF7737"/>
    <w:rsid w:val="00F05111"/>
    <w:rsid w:val="00F115A1"/>
    <w:rsid w:val="00F12E95"/>
    <w:rsid w:val="00F161C2"/>
    <w:rsid w:val="00F2368C"/>
    <w:rsid w:val="00F2634B"/>
    <w:rsid w:val="00F30390"/>
    <w:rsid w:val="00F35017"/>
    <w:rsid w:val="00F36E70"/>
    <w:rsid w:val="00F37AFC"/>
    <w:rsid w:val="00F41DB8"/>
    <w:rsid w:val="00F45798"/>
    <w:rsid w:val="00F45B4C"/>
    <w:rsid w:val="00F47FC9"/>
    <w:rsid w:val="00F54EDD"/>
    <w:rsid w:val="00F5654C"/>
    <w:rsid w:val="00F65B70"/>
    <w:rsid w:val="00F66996"/>
    <w:rsid w:val="00F67486"/>
    <w:rsid w:val="00F72B6E"/>
    <w:rsid w:val="00F73805"/>
    <w:rsid w:val="00F82273"/>
    <w:rsid w:val="00F93B65"/>
    <w:rsid w:val="00FA09A6"/>
    <w:rsid w:val="00FA7D51"/>
    <w:rsid w:val="00FB142F"/>
    <w:rsid w:val="00FB1C51"/>
    <w:rsid w:val="00FB1FB0"/>
    <w:rsid w:val="00FB5044"/>
    <w:rsid w:val="00FB7D9E"/>
    <w:rsid w:val="00FC020B"/>
    <w:rsid w:val="00FC109A"/>
    <w:rsid w:val="00FC5529"/>
    <w:rsid w:val="00FD0974"/>
    <w:rsid w:val="00FD0E10"/>
    <w:rsid w:val="00FF23FD"/>
    <w:rsid w:val="00FF33D2"/>
    <w:rsid w:val="00FF43D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7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57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B6"/>
  </w:style>
  <w:style w:type="paragraph" w:styleId="Footer">
    <w:name w:val="footer"/>
    <w:basedOn w:val="Normal"/>
    <w:link w:val="FooterChar"/>
    <w:uiPriority w:val="99"/>
    <w:unhideWhenUsed/>
    <w:rsid w:val="005B1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.ppt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2024-01-05T15:43:00Z</dcterms:created>
  <dcterms:modified xsi:type="dcterms:W3CDTF">2024-01-05T15:43:00Z</dcterms:modified>
</cp:coreProperties>
</file>