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8D066C" w14:textId="25802C92" w:rsidR="00B37835" w:rsidRPr="00B37835" w:rsidRDefault="00B37835" w:rsidP="00B37835">
      <w:pPr>
        <w:spacing w:before="360" w:after="60" w:line="240" w:lineRule="auto"/>
        <w:outlineLvl w:val="1"/>
        <w:rPr>
          <w:rFonts w:ascii="avenir" w:eastAsia="Times New Roman" w:hAnsi="avenir" w:cs="Times New Roman"/>
          <w:b/>
          <w:bCs/>
          <w:color w:val="333333"/>
          <w:sz w:val="36"/>
          <w:szCs w:val="36"/>
        </w:rPr>
      </w:pPr>
      <w:r w:rsidRPr="00B37835">
        <w:rPr>
          <w:rFonts w:ascii="avenir" w:eastAsia="Times New Roman" w:hAnsi="avenir" w:cs="Times New Roman"/>
          <w:b/>
          <w:bCs/>
          <w:color w:val="333333"/>
          <w:sz w:val="36"/>
          <w:szCs w:val="36"/>
        </w:rPr>
        <w:t>Use of Evidence of Authorization</w:t>
      </w:r>
      <w:bookmarkStart w:id="0" w:name="0037"/>
      <w:bookmarkEnd w:id="0"/>
    </w:p>
    <w:p w14:paraId="5E511488" w14:textId="77777777" w:rsidR="008475D1" w:rsidRPr="00397C25" w:rsidRDefault="008475D1" w:rsidP="008475D1">
      <w:pPr>
        <w:spacing w:after="0" w:line="270" w:lineRule="atLeast"/>
        <w:rPr>
          <w:rFonts w:ascii="avenir" w:eastAsia="Times New Roman" w:hAnsi="avenir" w:cs="Times New Roman"/>
          <w:i/>
          <w:iCs/>
          <w:color w:val="333333"/>
          <w:sz w:val="20"/>
          <w:szCs w:val="20"/>
        </w:rPr>
      </w:pPr>
      <w:bookmarkStart w:id="1" w:name="_Hlk118106305"/>
      <w:bookmarkStart w:id="2" w:name="_Hlk101531908"/>
      <w:r w:rsidRPr="00397C25">
        <w:rPr>
          <w:rFonts w:ascii="avenir" w:eastAsia="Times New Roman" w:hAnsi="avenir" w:cs="Times New Roman"/>
          <w:i/>
          <w:iCs/>
          <w:color w:val="333333"/>
          <w:sz w:val="20"/>
          <w:szCs w:val="20"/>
        </w:rPr>
        <w:t>Submitted By: NPIF</w:t>
      </w:r>
      <w:r>
        <w:rPr>
          <w:rFonts w:ascii="avenir" w:eastAsia="Times New Roman" w:hAnsi="avenir" w:cs="Times New Roman"/>
          <w:i/>
          <w:iCs/>
          <w:color w:val="333333"/>
          <w:sz w:val="20"/>
          <w:szCs w:val="20"/>
        </w:rPr>
        <w:t xml:space="preserve"> </w:t>
      </w:r>
    </w:p>
    <w:p w14:paraId="678D82FD" w14:textId="7B60ECC5" w:rsidR="008475D1" w:rsidRDefault="008475D1" w:rsidP="008475D1">
      <w:pPr>
        <w:spacing w:after="0" w:line="270" w:lineRule="atLeast"/>
        <w:rPr>
          <w:rFonts w:ascii="avenir" w:eastAsia="Times New Roman" w:hAnsi="avenir" w:cs="Times New Roman"/>
          <w:i/>
          <w:iCs/>
          <w:color w:val="333333"/>
          <w:sz w:val="20"/>
          <w:szCs w:val="20"/>
        </w:rPr>
      </w:pPr>
      <w:r>
        <w:rPr>
          <w:rFonts w:ascii="avenir" w:eastAsia="Times New Roman" w:hAnsi="avenir" w:cs="Times New Roman"/>
          <w:i/>
          <w:iCs/>
          <w:color w:val="333333"/>
          <w:sz w:val="20"/>
          <w:szCs w:val="20"/>
        </w:rPr>
        <w:t>Accepted</w:t>
      </w:r>
      <w:r w:rsidRPr="00397C25">
        <w:rPr>
          <w:rFonts w:ascii="avenir" w:eastAsia="Times New Roman" w:hAnsi="avenir" w:cs="Times New Roman"/>
          <w:i/>
          <w:iCs/>
          <w:color w:val="333333"/>
          <w:sz w:val="20"/>
          <w:szCs w:val="20"/>
        </w:rPr>
        <w:t xml:space="preserve">: </w:t>
      </w:r>
      <w:r>
        <w:rPr>
          <w:rFonts w:ascii="avenir" w:eastAsia="Times New Roman" w:hAnsi="avenir" w:cs="Times New Roman"/>
          <w:i/>
          <w:iCs/>
          <w:color w:val="333333"/>
          <w:sz w:val="20"/>
          <w:szCs w:val="20"/>
        </w:rPr>
        <w:t>05/27/2005</w:t>
      </w:r>
    </w:p>
    <w:p w14:paraId="3AE71F18" w14:textId="77777777" w:rsidR="008475D1" w:rsidRDefault="008475D1" w:rsidP="008475D1">
      <w:pPr>
        <w:spacing w:after="0" w:line="270" w:lineRule="atLeast"/>
        <w:rPr>
          <w:rFonts w:ascii="avenir" w:eastAsia="Times New Roman" w:hAnsi="avenir" w:cs="Times New Roman"/>
          <w:i/>
          <w:iCs/>
          <w:color w:val="333333"/>
          <w:sz w:val="20"/>
          <w:szCs w:val="20"/>
        </w:rPr>
      </w:pPr>
      <w:r>
        <w:rPr>
          <w:rFonts w:ascii="avenir" w:eastAsia="Times New Roman" w:hAnsi="avenir" w:cs="Times New Roman"/>
          <w:i/>
          <w:iCs/>
          <w:color w:val="333333"/>
          <w:sz w:val="20"/>
          <w:szCs w:val="20"/>
        </w:rPr>
        <w:t>Revised: 11/02/2005</w:t>
      </w:r>
    </w:p>
    <w:p w14:paraId="4FA0A6DF" w14:textId="718B813F" w:rsidR="008475D1" w:rsidRDefault="008475D1" w:rsidP="008475D1">
      <w:pPr>
        <w:spacing w:after="0" w:line="270" w:lineRule="atLeast"/>
        <w:rPr>
          <w:rFonts w:ascii="avenir" w:eastAsia="Times New Roman" w:hAnsi="avenir" w:cs="Times New Roman"/>
          <w:i/>
          <w:iCs/>
          <w:color w:val="333333"/>
          <w:sz w:val="20"/>
          <w:szCs w:val="20"/>
        </w:rPr>
      </w:pPr>
      <w:r>
        <w:rPr>
          <w:rFonts w:ascii="avenir" w:eastAsia="Times New Roman" w:hAnsi="avenir" w:cs="Times New Roman"/>
          <w:i/>
          <w:iCs/>
          <w:color w:val="333333"/>
          <w:sz w:val="20"/>
          <w:szCs w:val="20"/>
        </w:rPr>
        <w:t>Revised: 06/14/201</w:t>
      </w:r>
    </w:p>
    <w:p w14:paraId="612E99F8" w14:textId="1D082EB8" w:rsidR="008475D1" w:rsidRPr="00397C25" w:rsidRDefault="008475D1" w:rsidP="008475D1">
      <w:pPr>
        <w:spacing w:after="190" w:line="270" w:lineRule="atLeast"/>
        <w:rPr>
          <w:rFonts w:ascii="avenir" w:eastAsia="Times New Roman" w:hAnsi="avenir" w:cs="Times New Roman"/>
          <w:i/>
          <w:iCs/>
          <w:color w:val="333333"/>
          <w:sz w:val="20"/>
          <w:szCs w:val="20"/>
        </w:rPr>
      </w:pPr>
      <w:r w:rsidRPr="00397C25">
        <w:rPr>
          <w:rFonts w:ascii="avenir" w:eastAsia="Times New Roman" w:hAnsi="avenir" w:cs="Times New Roman"/>
          <w:i/>
          <w:iCs/>
          <w:color w:val="333333"/>
          <w:sz w:val="20"/>
          <w:szCs w:val="20"/>
        </w:rPr>
        <w:t xml:space="preserve">Version: </w:t>
      </w:r>
      <w:r>
        <w:rPr>
          <w:rFonts w:ascii="avenir" w:eastAsia="Times New Roman" w:hAnsi="avenir" w:cs="Times New Roman"/>
          <w:i/>
          <w:iCs/>
          <w:color w:val="333333"/>
          <w:sz w:val="20"/>
          <w:szCs w:val="20"/>
        </w:rPr>
        <w:t>3</w:t>
      </w:r>
    </w:p>
    <w:p w14:paraId="53D59A95" w14:textId="77777777" w:rsidR="008475D1" w:rsidRDefault="008475D1" w:rsidP="008475D1">
      <w:pPr>
        <w:spacing w:after="190" w:line="270" w:lineRule="atLeast"/>
        <w:outlineLvl w:val="3"/>
        <w:rPr>
          <w:rFonts w:ascii="avenir" w:eastAsia="Times New Roman" w:hAnsi="avenir" w:cs="Times New Roman"/>
          <w:color w:val="333333"/>
          <w:sz w:val="20"/>
          <w:szCs w:val="20"/>
        </w:rPr>
      </w:pPr>
      <w:bookmarkStart w:id="3" w:name="eztoc60040_2_23_5_37"/>
      <w:bookmarkEnd w:id="3"/>
      <w:r>
        <w:rPr>
          <w:rFonts w:ascii="avenir" w:eastAsia="Times New Roman" w:hAnsi="avenir" w:cs="Times New Roman"/>
          <w:b/>
          <w:bCs/>
          <w:color w:val="333333"/>
          <w:sz w:val="20"/>
          <w:szCs w:val="20"/>
        </w:rPr>
        <w:t>Version History</w:t>
      </w:r>
      <w:r w:rsidRPr="00143FD6">
        <w:rPr>
          <w:rFonts w:ascii="avenir" w:eastAsia="Times New Roman" w:hAnsi="avenir" w:cs="Times New Roman"/>
          <w:b/>
          <w:bCs/>
          <w:color w:val="333333"/>
          <w:sz w:val="20"/>
          <w:szCs w:val="20"/>
        </w:rPr>
        <w:t xml:space="preserve">: </w:t>
      </w:r>
      <w:r>
        <w:rPr>
          <w:rFonts w:ascii="avenir" w:eastAsia="Times New Roman" w:hAnsi="avenir" w:cs="Times New Roman"/>
          <w:color w:val="333333"/>
          <w:sz w:val="20"/>
          <w:szCs w:val="20"/>
        </w:rPr>
        <w:t xml:space="preserve"> </w:t>
      </w:r>
    </w:p>
    <w:p w14:paraId="1552904D" w14:textId="614472C8" w:rsidR="00F5141F" w:rsidRPr="00143FD6" w:rsidRDefault="008475D1" w:rsidP="00F5141F">
      <w:pPr>
        <w:spacing w:after="195" w:line="270" w:lineRule="atLeast"/>
        <w:rPr>
          <w:rFonts w:ascii="avenir" w:eastAsia="Times New Roman" w:hAnsi="avenir" w:cs="Times New Roman"/>
          <w:color w:val="333333"/>
          <w:sz w:val="20"/>
          <w:szCs w:val="20"/>
        </w:rPr>
      </w:pPr>
      <w:r>
        <w:rPr>
          <w:rFonts w:ascii="avenir" w:eastAsia="Times New Roman" w:hAnsi="avenir" w:cs="Times New Roman"/>
          <w:color w:val="333333"/>
          <w:sz w:val="20"/>
          <w:szCs w:val="20"/>
        </w:rPr>
        <w:t xml:space="preserve">This Best Practice was created by the LNPA WG </w:t>
      </w:r>
      <w:bookmarkStart w:id="4" w:name="_Hlk97556765"/>
      <w:r>
        <w:rPr>
          <w:rFonts w:ascii="avenir" w:eastAsia="Times New Roman" w:hAnsi="avenir" w:cs="Times New Roman"/>
          <w:color w:val="333333"/>
          <w:sz w:val="20"/>
          <w:szCs w:val="20"/>
        </w:rPr>
        <w:t xml:space="preserve">(now known as the NPIF – Number Portability Industry Forum) </w:t>
      </w:r>
      <w:bookmarkEnd w:id="4"/>
      <w:r>
        <w:rPr>
          <w:rFonts w:ascii="avenir" w:eastAsia="Times New Roman" w:hAnsi="avenir" w:cs="Times New Roman"/>
          <w:color w:val="333333"/>
          <w:sz w:val="20"/>
          <w:szCs w:val="20"/>
        </w:rPr>
        <w:t>and originally accepted on 05/27/2005 (Version 1).  It was reviewed again at the 11/02/2005 where consensus was reached to add CSR language</w:t>
      </w:r>
      <w:r w:rsidR="003A5284">
        <w:rPr>
          <w:rFonts w:ascii="avenir" w:eastAsia="Times New Roman" w:hAnsi="avenir" w:cs="Times New Roman"/>
          <w:color w:val="333333"/>
          <w:sz w:val="20"/>
          <w:szCs w:val="20"/>
        </w:rPr>
        <w:t xml:space="preserve"> (Version 2)</w:t>
      </w:r>
      <w:r>
        <w:rPr>
          <w:rFonts w:ascii="avenir" w:eastAsia="Times New Roman" w:hAnsi="avenir" w:cs="Times New Roman"/>
          <w:color w:val="333333"/>
          <w:sz w:val="20"/>
          <w:szCs w:val="20"/>
        </w:rPr>
        <w:t xml:space="preserve">.  </w:t>
      </w:r>
      <w:r w:rsidR="00800665">
        <w:rPr>
          <w:rFonts w:ascii="avenir" w:eastAsia="Times New Roman" w:hAnsi="avenir" w:cs="Times New Roman"/>
          <w:color w:val="333333"/>
          <w:sz w:val="20"/>
          <w:szCs w:val="20"/>
        </w:rPr>
        <w:t xml:space="preserve">An additional review of this Best Practice by the LNPA WG on 06/14/2011 resulted in version 3 which included the addition of Regulatory document references. </w:t>
      </w:r>
      <w:r>
        <w:rPr>
          <w:rFonts w:ascii="avenir" w:eastAsia="Times New Roman" w:hAnsi="avenir" w:cs="Times New Roman"/>
          <w:color w:val="333333"/>
          <w:sz w:val="20"/>
          <w:szCs w:val="20"/>
        </w:rPr>
        <w:t>It was reviewed again at the 05/03/2022 NPIF where consensus was reached that no updates were required</w:t>
      </w:r>
      <w:bookmarkEnd w:id="1"/>
      <w:r>
        <w:rPr>
          <w:rFonts w:ascii="avenir" w:eastAsia="Times New Roman" w:hAnsi="avenir" w:cs="Times New Roman"/>
          <w:color w:val="333333"/>
          <w:sz w:val="20"/>
          <w:szCs w:val="20"/>
        </w:rPr>
        <w:t>.</w:t>
      </w:r>
      <w:r w:rsidR="00C757E5">
        <w:rPr>
          <w:rFonts w:ascii="avenir" w:eastAsia="Times New Roman" w:hAnsi="avenir" w:cs="Times New Roman"/>
          <w:color w:val="333333"/>
          <w:sz w:val="20"/>
          <w:szCs w:val="20"/>
        </w:rPr>
        <w:t xml:space="preserve">  </w:t>
      </w:r>
      <w:r w:rsidR="00F5141F">
        <w:rPr>
          <w:rFonts w:ascii="avenir" w:eastAsia="Times New Roman" w:hAnsi="avenir" w:cs="Times New Roman"/>
          <w:color w:val="333333"/>
          <w:sz w:val="20"/>
          <w:szCs w:val="20"/>
        </w:rPr>
        <w:t xml:space="preserve">Consensus was reached at the 08/7/2024 NPIF meeting </w:t>
      </w:r>
      <w:r w:rsidR="00561885">
        <w:rPr>
          <w:rFonts w:ascii="avenir" w:eastAsia="Times New Roman" w:hAnsi="avenir" w:cs="Times New Roman"/>
          <w:color w:val="333333"/>
          <w:sz w:val="20"/>
          <w:szCs w:val="20"/>
        </w:rPr>
        <w:t>that</w:t>
      </w:r>
      <w:r w:rsidR="00F5141F">
        <w:rPr>
          <w:rFonts w:ascii="avenir" w:eastAsia="Times New Roman" w:hAnsi="avenir" w:cs="Times New Roman"/>
          <w:color w:val="333333"/>
          <w:sz w:val="20"/>
          <w:szCs w:val="20"/>
        </w:rPr>
        <w:t xml:space="preserve"> ‘…</w:t>
      </w:r>
      <w:r w:rsidR="00F5141F" w:rsidRPr="00C757E5">
        <w:t xml:space="preserve"> </w:t>
      </w:r>
      <w:r w:rsidR="00F5141F" w:rsidRPr="00C757E5">
        <w:rPr>
          <w:rFonts w:ascii="avenir" w:eastAsia="Times New Roman" w:hAnsi="avenir" w:cs="Times New Roman"/>
          <w:color w:val="333333"/>
          <w:sz w:val="20"/>
          <w:szCs w:val="20"/>
        </w:rPr>
        <w:t>physical copy of the evidence of authorization</w:t>
      </w:r>
      <w:r w:rsidR="00F5141F">
        <w:rPr>
          <w:rFonts w:ascii="avenir" w:eastAsia="Times New Roman" w:hAnsi="avenir" w:cs="Times New Roman"/>
          <w:color w:val="333333"/>
          <w:sz w:val="20"/>
          <w:szCs w:val="20"/>
        </w:rPr>
        <w:t xml:space="preserve">…’ </w:t>
      </w:r>
      <w:r w:rsidR="00561885">
        <w:rPr>
          <w:rFonts w:ascii="avenir" w:eastAsia="Times New Roman" w:hAnsi="avenir" w:cs="Times New Roman"/>
          <w:color w:val="333333"/>
          <w:sz w:val="20"/>
          <w:szCs w:val="20"/>
        </w:rPr>
        <w:t xml:space="preserve">already </w:t>
      </w:r>
      <w:r w:rsidR="002C3A96">
        <w:rPr>
          <w:rFonts w:ascii="avenir" w:eastAsia="Times New Roman" w:hAnsi="avenir" w:cs="Times New Roman"/>
          <w:color w:val="333333"/>
          <w:sz w:val="20"/>
          <w:szCs w:val="20"/>
        </w:rPr>
        <w:t>includes electronic copy as stated in the note at the bottom of this BP</w:t>
      </w:r>
    </w:p>
    <w:p w14:paraId="449817A7" w14:textId="1B76880E" w:rsidR="008475D1" w:rsidRPr="00143FD6" w:rsidRDefault="008475D1" w:rsidP="008475D1">
      <w:pPr>
        <w:spacing w:after="195" w:line="270" w:lineRule="atLeast"/>
        <w:rPr>
          <w:rFonts w:ascii="avenir" w:eastAsia="Times New Roman" w:hAnsi="avenir" w:cs="Times New Roman"/>
          <w:color w:val="333333"/>
          <w:sz w:val="20"/>
          <w:szCs w:val="20"/>
        </w:rPr>
      </w:pPr>
    </w:p>
    <w:p w14:paraId="646872A7" w14:textId="77777777" w:rsidR="00B37835" w:rsidRPr="00B37835" w:rsidRDefault="00B37835" w:rsidP="00B37835">
      <w:pPr>
        <w:spacing w:before="280" w:after="180" w:line="330" w:lineRule="atLeast"/>
        <w:outlineLvl w:val="3"/>
        <w:rPr>
          <w:rFonts w:ascii="avenir" w:eastAsia="Times New Roman" w:hAnsi="avenir" w:cs="Times New Roman"/>
          <w:b/>
          <w:bCs/>
          <w:color w:val="333333"/>
          <w:sz w:val="20"/>
          <w:szCs w:val="20"/>
        </w:rPr>
      </w:pPr>
      <w:bookmarkStart w:id="5" w:name="eztoc60040_2_38_5_69"/>
      <w:bookmarkEnd w:id="2"/>
      <w:bookmarkEnd w:id="5"/>
      <w:r w:rsidRPr="00B37835">
        <w:rPr>
          <w:rFonts w:ascii="avenir" w:eastAsia="Times New Roman" w:hAnsi="avenir" w:cs="Times New Roman"/>
          <w:b/>
          <w:bCs/>
          <w:color w:val="333333"/>
          <w:sz w:val="20"/>
          <w:szCs w:val="20"/>
        </w:rPr>
        <w:t>Background:</w:t>
      </w:r>
    </w:p>
    <w:p w14:paraId="16034AF6" w14:textId="77777777" w:rsidR="00B37835" w:rsidRPr="00B37835" w:rsidRDefault="00B37835" w:rsidP="00B37835">
      <w:pPr>
        <w:spacing w:after="195" w:line="270" w:lineRule="atLeast"/>
        <w:rPr>
          <w:rFonts w:ascii="avenir" w:eastAsia="Times New Roman" w:hAnsi="avenir" w:cs="Times New Roman"/>
          <w:color w:val="333333"/>
          <w:sz w:val="20"/>
          <w:szCs w:val="20"/>
        </w:rPr>
      </w:pPr>
      <w:bookmarkStart w:id="6" w:name="_Hlk118106715"/>
      <w:r w:rsidRPr="00B37835">
        <w:rPr>
          <w:rFonts w:ascii="avenir" w:eastAsia="Times New Roman" w:hAnsi="avenir" w:cs="Times New Roman"/>
          <w:b/>
          <w:bCs/>
          <w:color w:val="333333"/>
          <w:sz w:val="20"/>
          <w:szCs w:val="20"/>
        </w:rPr>
        <w:t>Documentation Referenced:</w:t>
      </w:r>
    </w:p>
    <w:bookmarkEnd w:id="6"/>
    <w:p w14:paraId="175F6E20" w14:textId="15733EB4" w:rsidR="00B37835" w:rsidRPr="00561885" w:rsidRDefault="00947390" w:rsidP="00B37835">
      <w:pPr>
        <w:numPr>
          <w:ilvl w:val="0"/>
          <w:numId w:val="1"/>
        </w:numPr>
        <w:spacing w:after="60" w:line="270" w:lineRule="atLeast"/>
        <w:ind w:left="300"/>
        <w:rPr>
          <w:rStyle w:val="Hyperlink"/>
          <w:rFonts w:ascii="avenir" w:eastAsia="Times New Roman" w:hAnsi="avenir" w:cs="Times New Roman"/>
          <w:b/>
          <w:bCs/>
          <w:sz w:val="20"/>
          <w:szCs w:val="20"/>
        </w:rPr>
      </w:pPr>
      <w:r w:rsidRPr="00561885">
        <w:rPr>
          <w:rFonts w:ascii="avenir" w:eastAsia="Times New Roman" w:hAnsi="avenir" w:cs="Times New Roman"/>
          <w:b/>
          <w:bCs/>
          <w:color w:val="333333"/>
          <w:sz w:val="20"/>
          <w:szCs w:val="20"/>
        </w:rPr>
        <w:fldChar w:fldCharType="begin"/>
      </w:r>
      <w:r w:rsidRPr="00561885">
        <w:rPr>
          <w:rFonts w:ascii="avenir" w:eastAsia="Times New Roman" w:hAnsi="avenir" w:cs="Times New Roman"/>
          <w:b/>
          <w:bCs/>
          <w:color w:val="333333"/>
          <w:sz w:val="20"/>
          <w:szCs w:val="20"/>
        </w:rPr>
        <w:instrText>HYPERLINK "https://www.ecfr.gov/current/title-47/chapter-I/subchapter-B/part-64/subpart-K/section-64.1120"</w:instrText>
      </w:r>
      <w:r w:rsidRPr="00561885">
        <w:rPr>
          <w:rFonts w:ascii="avenir" w:eastAsia="Times New Roman" w:hAnsi="avenir" w:cs="Times New Roman"/>
          <w:b/>
          <w:bCs/>
          <w:color w:val="333333"/>
          <w:sz w:val="20"/>
          <w:szCs w:val="20"/>
        </w:rPr>
      </w:r>
      <w:r w:rsidRPr="00561885">
        <w:rPr>
          <w:rFonts w:ascii="avenir" w:eastAsia="Times New Roman" w:hAnsi="avenir" w:cs="Times New Roman"/>
          <w:b/>
          <w:bCs/>
          <w:color w:val="333333"/>
          <w:sz w:val="20"/>
          <w:szCs w:val="20"/>
        </w:rPr>
        <w:fldChar w:fldCharType="separate"/>
      </w:r>
      <w:r w:rsidR="00B37835" w:rsidRPr="00561885">
        <w:rPr>
          <w:rStyle w:val="Hyperlink"/>
          <w:rFonts w:ascii="avenir" w:eastAsia="Times New Roman" w:hAnsi="avenir" w:cs="Times New Roman"/>
          <w:b/>
          <w:bCs/>
          <w:sz w:val="20"/>
          <w:szCs w:val="20"/>
        </w:rPr>
        <w:t>CFR 64.1150</w:t>
      </w:r>
    </w:p>
    <w:p w14:paraId="6B63215A" w14:textId="5F7F85AE" w:rsidR="00B37835" w:rsidRPr="00561885" w:rsidRDefault="00947390" w:rsidP="00B37835">
      <w:pPr>
        <w:numPr>
          <w:ilvl w:val="0"/>
          <w:numId w:val="2"/>
        </w:numPr>
        <w:spacing w:after="60" w:line="270" w:lineRule="atLeast"/>
        <w:ind w:left="300"/>
        <w:rPr>
          <w:rFonts w:ascii="avenir" w:eastAsia="Times New Roman" w:hAnsi="avenir" w:cs="Times New Roman"/>
          <w:b/>
          <w:bCs/>
          <w:color w:val="333333"/>
          <w:sz w:val="20"/>
          <w:szCs w:val="20"/>
        </w:rPr>
      </w:pPr>
      <w:r w:rsidRPr="00561885">
        <w:rPr>
          <w:rFonts w:ascii="avenir" w:eastAsia="Times New Roman" w:hAnsi="avenir" w:cs="Times New Roman"/>
          <w:b/>
          <w:bCs/>
          <w:color w:val="333333"/>
          <w:sz w:val="20"/>
          <w:szCs w:val="20"/>
        </w:rPr>
        <w:fldChar w:fldCharType="end"/>
      </w:r>
      <w:hyperlink r:id="rId7" w:history="1">
        <w:r w:rsidR="00B37835" w:rsidRPr="00561885">
          <w:rPr>
            <w:rStyle w:val="Hyperlink"/>
            <w:rFonts w:ascii="avenir" w:eastAsia="Times New Roman" w:hAnsi="avenir" w:cs="Times New Roman"/>
            <w:b/>
            <w:bCs/>
            <w:sz w:val="20"/>
            <w:szCs w:val="20"/>
          </w:rPr>
          <w:t>FCC Order 99-223</w:t>
        </w:r>
      </w:hyperlink>
    </w:p>
    <w:p w14:paraId="55037D0B" w14:textId="3A385953" w:rsidR="00B37835" w:rsidRDefault="00B37835" w:rsidP="00FA5F07">
      <w:pPr>
        <w:spacing w:after="195" w:line="270" w:lineRule="atLeast"/>
      </w:pPr>
    </w:p>
    <w:p w14:paraId="2588BD28" w14:textId="75B7764F" w:rsidR="00FA5F07" w:rsidRPr="002200A1" w:rsidRDefault="00FA5F07" w:rsidP="00FA5F07">
      <w:pPr>
        <w:spacing w:after="195" w:line="270" w:lineRule="atLeast"/>
        <w:rPr>
          <w:rFonts w:ascii="avenir" w:eastAsia="Times New Roman" w:hAnsi="avenir" w:cs="Times New Roman"/>
          <w:color w:val="333333"/>
          <w:sz w:val="20"/>
          <w:szCs w:val="20"/>
        </w:rPr>
      </w:pPr>
      <w:bookmarkStart w:id="7" w:name="_Hlk118106734"/>
      <w:r>
        <w:rPr>
          <w:rFonts w:ascii="avenir" w:eastAsia="Times New Roman" w:hAnsi="avenir" w:cs="Times New Roman"/>
          <w:color w:val="333333"/>
          <w:sz w:val="20"/>
          <w:szCs w:val="20"/>
        </w:rPr>
        <w:t xml:space="preserve">In addition, there are three other Best Practices that address aspects of returning ported numbers to the original/rightful owner </w:t>
      </w:r>
      <w:bookmarkStart w:id="8" w:name="_Hlk118101507"/>
      <w:r>
        <w:rPr>
          <w:rFonts w:ascii="avenir" w:eastAsia="Times New Roman" w:hAnsi="avenir" w:cs="Times New Roman"/>
          <w:color w:val="333333"/>
          <w:sz w:val="20"/>
          <w:szCs w:val="20"/>
        </w:rPr>
        <w:t>and preventing unauthorized/disputed ports</w:t>
      </w:r>
      <w:bookmarkEnd w:id="8"/>
      <w:r>
        <w:rPr>
          <w:rFonts w:ascii="avenir" w:eastAsia="Times New Roman" w:hAnsi="avenir" w:cs="Times New Roman"/>
          <w:color w:val="333333"/>
          <w:sz w:val="20"/>
          <w:szCs w:val="20"/>
        </w:rPr>
        <w:t>.  They are:</w:t>
      </w:r>
    </w:p>
    <w:p w14:paraId="09CD66D9" w14:textId="3D2E35C7" w:rsidR="00FA5F07" w:rsidRPr="008341B3" w:rsidRDefault="008341B3" w:rsidP="00FA5F07">
      <w:pPr>
        <w:pStyle w:val="ListParagraph"/>
        <w:numPr>
          <w:ilvl w:val="0"/>
          <w:numId w:val="3"/>
        </w:numPr>
        <w:spacing w:before="280" w:after="180" w:line="330" w:lineRule="atLeast"/>
        <w:outlineLvl w:val="3"/>
        <w:rPr>
          <w:rStyle w:val="Hyperlink"/>
          <w:rFonts w:ascii="avenir" w:eastAsia="Times New Roman" w:hAnsi="avenir" w:cs="Times New Roman"/>
          <w:b/>
          <w:bCs/>
          <w:sz w:val="20"/>
          <w:szCs w:val="20"/>
        </w:rPr>
      </w:pPr>
      <w:r>
        <w:rPr>
          <w:rFonts w:ascii="avenir" w:eastAsia="Times New Roman" w:hAnsi="avenir" w:cs="Times New Roman"/>
          <w:b/>
          <w:bCs/>
          <w:color w:val="333333"/>
          <w:sz w:val="20"/>
          <w:szCs w:val="20"/>
        </w:rPr>
        <w:fldChar w:fldCharType="begin"/>
      </w:r>
      <w:r>
        <w:rPr>
          <w:rFonts w:ascii="avenir" w:eastAsia="Times New Roman" w:hAnsi="avenir" w:cs="Times New Roman"/>
          <w:b/>
          <w:bCs/>
          <w:color w:val="333333"/>
          <w:sz w:val="20"/>
          <w:szCs w:val="20"/>
        </w:rPr>
        <w:instrText xml:space="preserve"> HYPERLINK "https://workinggroup.numberportability.com/documents/5725/0058__Handling_of_Disputed_Ports.docx" </w:instrText>
      </w:r>
      <w:r>
        <w:rPr>
          <w:rFonts w:ascii="avenir" w:eastAsia="Times New Roman" w:hAnsi="avenir" w:cs="Times New Roman"/>
          <w:b/>
          <w:bCs/>
          <w:color w:val="333333"/>
          <w:sz w:val="20"/>
          <w:szCs w:val="20"/>
        </w:rPr>
      </w:r>
      <w:r>
        <w:rPr>
          <w:rFonts w:ascii="avenir" w:eastAsia="Times New Roman" w:hAnsi="avenir" w:cs="Times New Roman"/>
          <w:b/>
          <w:bCs/>
          <w:color w:val="333333"/>
          <w:sz w:val="20"/>
          <w:szCs w:val="20"/>
        </w:rPr>
        <w:fldChar w:fldCharType="separate"/>
      </w:r>
      <w:bookmarkStart w:id="9" w:name="_Hlk118116521"/>
      <w:r w:rsidR="00FA5F07" w:rsidRPr="008341B3">
        <w:rPr>
          <w:rStyle w:val="Hyperlink"/>
          <w:rFonts w:ascii="avenir" w:eastAsia="Times New Roman" w:hAnsi="avenir" w:cs="Times New Roman"/>
          <w:b/>
          <w:bCs/>
          <w:sz w:val="20"/>
          <w:szCs w:val="20"/>
        </w:rPr>
        <w:t>BP 058 – Handling of Disputed Ports</w:t>
      </w:r>
    </w:p>
    <w:bookmarkEnd w:id="9"/>
    <w:p w14:paraId="27EF58F7" w14:textId="6A57730C" w:rsidR="00FA5F07" w:rsidRPr="007F434B" w:rsidRDefault="008341B3" w:rsidP="00FA5F07">
      <w:pPr>
        <w:pStyle w:val="ListParagraph"/>
        <w:numPr>
          <w:ilvl w:val="0"/>
          <w:numId w:val="3"/>
        </w:numPr>
        <w:spacing w:before="280" w:after="180" w:line="330" w:lineRule="atLeast"/>
        <w:outlineLvl w:val="3"/>
        <w:rPr>
          <w:rFonts w:ascii="avenir" w:eastAsia="Times New Roman" w:hAnsi="avenir" w:cs="Times New Roman"/>
          <w:b/>
          <w:bCs/>
          <w:color w:val="333333"/>
          <w:sz w:val="20"/>
          <w:szCs w:val="20"/>
        </w:rPr>
      </w:pPr>
      <w:r>
        <w:rPr>
          <w:rFonts w:ascii="avenir" w:eastAsia="Times New Roman" w:hAnsi="avenir" w:cs="Times New Roman"/>
          <w:b/>
          <w:bCs/>
          <w:color w:val="333333"/>
          <w:sz w:val="20"/>
          <w:szCs w:val="20"/>
        </w:rPr>
        <w:fldChar w:fldCharType="end"/>
      </w:r>
      <w:hyperlink r:id="rId8" w:history="1">
        <w:r w:rsidR="00FA5F07" w:rsidRPr="00DF3789">
          <w:rPr>
            <w:rStyle w:val="Hyperlink"/>
            <w:rFonts w:ascii="avenir" w:eastAsia="Times New Roman" w:hAnsi="avenir" w:cs="Times New Roman"/>
            <w:b/>
            <w:bCs/>
            <w:sz w:val="20"/>
            <w:szCs w:val="20"/>
          </w:rPr>
          <w:t xml:space="preserve">BP 068 - Stolen </w:t>
        </w:r>
        <w:r w:rsidR="00305F70">
          <w:rPr>
            <w:rStyle w:val="Hyperlink"/>
            <w:rFonts w:ascii="avenir" w:eastAsia="Times New Roman" w:hAnsi="avenir" w:cs="Times New Roman"/>
            <w:b/>
            <w:bCs/>
            <w:sz w:val="20"/>
            <w:szCs w:val="20"/>
          </w:rPr>
          <w:t xml:space="preserve">Telephone </w:t>
        </w:r>
        <w:r w:rsidR="00FA5F07" w:rsidRPr="00DF3789">
          <w:rPr>
            <w:rStyle w:val="Hyperlink"/>
            <w:rFonts w:ascii="avenir" w:eastAsia="Times New Roman" w:hAnsi="avenir" w:cs="Times New Roman"/>
            <w:b/>
            <w:bCs/>
            <w:sz w:val="20"/>
            <w:szCs w:val="20"/>
          </w:rPr>
          <w:t>Numbers</w:t>
        </w:r>
      </w:hyperlink>
    </w:p>
    <w:p w14:paraId="2434D62C" w14:textId="77777777" w:rsidR="00FA5F07" w:rsidRDefault="005F3AE2" w:rsidP="00FA5F07">
      <w:pPr>
        <w:pStyle w:val="ListParagraph"/>
        <w:numPr>
          <w:ilvl w:val="0"/>
          <w:numId w:val="3"/>
        </w:numPr>
        <w:spacing w:before="280" w:after="180" w:line="330" w:lineRule="atLeast"/>
        <w:outlineLvl w:val="3"/>
        <w:rPr>
          <w:rFonts w:ascii="avenir" w:eastAsia="Times New Roman" w:hAnsi="avenir" w:cs="Times New Roman"/>
          <w:b/>
          <w:bCs/>
          <w:color w:val="333333"/>
          <w:sz w:val="20"/>
          <w:szCs w:val="20"/>
        </w:rPr>
      </w:pPr>
      <w:hyperlink r:id="rId9" w:history="1">
        <w:r w:rsidR="00FA5F07" w:rsidRPr="00DF3789">
          <w:rPr>
            <w:rStyle w:val="Hyperlink"/>
            <w:rFonts w:ascii="avenir" w:eastAsia="Times New Roman" w:hAnsi="avenir" w:cs="Times New Roman"/>
            <w:b/>
            <w:bCs/>
            <w:sz w:val="20"/>
            <w:szCs w:val="20"/>
          </w:rPr>
          <w:t>BP 073 – Unauthorized Port Flow v3</w:t>
        </w:r>
      </w:hyperlink>
      <w:r w:rsidR="00FA5F07" w:rsidRPr="007F434B">
        <w:rPr>
          <w:rFonts w:ascii="avenir" w:eastAsia="Times New Roman" w:hAnsi="avenir" w:cs="Times New Roman"/>
          <w:b/>
          <w:bCs/>
          <w:color w:val="333333"/>
          <w:sz w:val="20"/>
          <w:szCs w:val="20"/>
        </w:rPr>
        <w:t xml:space="preserve"> </w:t>
      </w:r>
    </w:p>
    <w:p w14:paraId="2B1351D9" w14:textId="1A0912AE" w:rsidR="00FA5F07" w:rsidRPr="00B37835" w:rsidRDefault="00FA5F07" w:rsidP="00FA5F07">
      <w:pPr>
        <w:spacing w:after="195" w:line="270" w:lineRule="atLeast"/>
        <w:rPr>
          <w:rFonts w:ascii="avenir" w:eastAsia="Times New Roman" w:hAnsi="avenir" w:cs="Times New Roman"/>
          <w:color w:val="333333"/>
          <w:sz w:val="20"/>
          <w:szCs w:val="20"/>
        </w:rPr>
      </w:pPr>
      <w:r>
        <w:rPr>
          <w:rFonts w:ascii="avenir" w:eastAsia="Times New Roman" w:hAnsi="avenir" w:cs="Times New Roman"/>
          <w:color w:val="333333"/>
          <w:sz w:val="20"/>
          <w:szCs w:val="20"/>
        </w:rPr>
        <w:t>These Best Practices should also be referenced/followed when addressing the return of a ported number.</w:t>
      </w:r>
    </w:p>
    <w:p w14:paraId="01E0F8E0" w14:textId="77777777" w:rsidR="00B37835" w:rsidRPr="00B37835" w:rsidRDefault="00B37835" w:rsidP="00B37835">
      <w:pPr>
        <w:spacing w:before="280" w:after="180" w:line="330" w:lineRule="atLeast"/>
        <w:outlineLvl w:val="3"/>
        <w:rPr>
          <w:rFonts w:ascii="avenir" w:eastAsia="Times New Roman" w:hAnsi="avenir" w:cs="Times New Roman"/>
          <w:b/>
          <w:bCs/>
          <w:color w:val="333333"/>
          <w:sz w:val="20"/>
          <w:szCs w:val="20"/>
        </w:rPr>
      </w:pPr>
      <w:bookmarkStart w:id="10" w:name="eztoc60040_2_38_5_70"/>
      <w:bookmarkEnd w:id="10"/>
      <w:bookmarkEnd w:id="7"/>
      <w:r w:rsidRPr="00B37835">
        <w:rPr>
          <w:rFonts w:ascii="avenir" w:eastAsia="Times New Roman" w:hAnsi="avenir" w:cs="Times New Roman"/>
          <w:b/>
          <w:bCs/>
          <w:color w:val="333333"/>
          <w:sz w:val="20"/>
          <w:szCs w:val="20"/>
        </w:rPr>
        <w:t>Decisions/Recommendations</w:t>
      </w:r>
    </w:p>
    <w:p w14:paraId="2EB84FBD" w14:textId="43265834" w:rsidR="00B37835" w:rsidRPr="00B37835" w:rsidRDefault="00B37835" w:rsidP="00B37835">
      <w:pPr>
        <w:spacing w:after="195" w:line="270" w:lineRule="atLeast"/>
        <w:rPr>
          <w:rFonts w:ascii="avenir" w:eastAsia="Times New Roman" w:hAnsi="avenir" w:cs="Times New Roman"/>
          <w:color w:val="333333"/>
          <w:sz w:val="20"/>
          <w:szCs w:val="20"/>
        </w:rPr>
      </w:pPr>
      <w:r w:rsidRPr="00B37835">
        <w:rPr>
          <w:rFonts w:ascii="avenir" w:eastAsia="Times New Roman" w:hAnsi="avenir" w:cs="Times New Roman"/>
          <w:color w:val="333333"/>
          <w:sz w:val="20"/>
          <w:szCs w:val="20"/>
        </w:rPr>
        <w:t>Prior to placing orders on behalf of the end user, the New Local Service Provider is responsible for obtaining and having in its possession evidence of authorization. (CFR Title 47, Section 64.1120 (a) (1)</w:t>
      </w:r>
    </w:p>
    <w:p w14:paraId="6FD7DF80" w14:textId="77777777" w:rsidR="00B37835" w:rsidRPr="00B37835" w:rsidRDefault="00B37835" w:rsidP="00B37835">
      <w:pPr>
        <w:spacing w:after="195" w:line="270" w:lineRule="atLeast"/>
        <w:rPr>
          <w:rFonts w:ascii="avenir" w:eastAsia="Times New Roman" w:hAnsi="avenir" w:cs="Times New Roman"/>
          <w:color w:val="333333"/>
          <w:sz w:val="20"/>
          <w:szCs w:val="20"/>
        </w:rPr>
      </w:pPr>
      <w:r w:rsidRPr="00B37835">
        <w:rPr>
          <w:rFonts w:ascii="avenir" w:eastAsia="Times New Roman" w:hAnsi="avenir" w:cs="Times New Roman"/>
          <w:color w:val="333333"/>
          <w:sz w:val="20"/>
          <w:szCs w:val="20"/>
        </w:rPr>
        <w:t>Evidence of authorization shall consist of verification of the end user’s selection and authorization adequate to document the end user’s selection of the New Local Service Provider. (CFR Title 47, Section 64.1130)</w:t>
      </w:r>
    </w:p>
    <w:p w14:paraId="47A61A2D" w14:textId="18271FB1" w:rsidR="00B37835" w:rsidRPr="00B37835" w:rsidRDefault="00B37835" w:rsidP="00B37835">
      <w:pPr>
        <w:spacing w:after="195" w:line="270" w:lineRule="atLeast"/>
        <w:rPr>
          <w:rFonts w:ascii="avenir" w:eastAsia="Times New Roman" w:hAnsi="avenir" w:cs="Times New Roman"/>
          <w:color w:val="333333"/>
          <w:sz w:val="20"/>
          <w:szCs w:val="20"/>
        </w:rPr>
      </w:pPr>
      <w:r w:rsidRPr="00B37835">
        <w:rPr>
          <w:rFonts w:ascii="avenir" w:eastAsia="Times New Roman" w:hAnsi="avenir" w:cs="Times New Roman"/>
          <w:color w:val="333333"/>
          <w:sz w:val="20"/>
          <w:szCs w:val="20"/>
        </w:rPr>
        <w:lastRenderedPageBreak/>
        <w:t>The evidence of authorization needs to be obtained and maintained by the New Local Service provider as required by applicable federal and state regulation, as amended from time to time.</w:t>
      </w:r>
    </w:p>
    <w:p w14:paraId="4A4700BF" w14:textId="2FF79248" w:rsidR="00B37835" w:rsidRPr="00B37835" w:rsidRDefault="00B37835" w:rsidP="00B37835">
      <w:pPr>
        <w:spacing w:after="195" w:line="270" w:lineRule="atLeast"/>
        <w:rPr>
          <w:rFonts w:ascii="avenir" w:eastAsia="Times New Roman" w:hAnsi="avenir" w:cs="Times New Roman"/>
          <w:color w:val="333333"/>
          <w:sz w:val="20"/>
          <w:szCs w:val="20"/>
        </w:rPr>
      </w:pPr>
      <w:r w:rsidRPr="00B37835">
        <w:rPr>
          <w:rFonts w:ascii="avenir" w:eastAsia="Times New Roman" w:hAnsi="avenir" w:cs="Times New Roman"/>
          <w:color w:val="333333"/>
          <w:sz w:val="20"/>
          <w:szCs w:val="20"/>
        </w:rPr>
        <w:t>"It is the LNPA WG’s position that Firm Order Confirmation (FOC) of a port request shall not be predicated on the Old Local Service Provider obtaining a physical copy of the evidence of authorization from the New Local Service Provider.  In the event of an end user allegation of an unauthorized change, the New Local Service Provider shall, upon request and in accordance with all applicable laws and rules, provide the evidence of authorization to the Old Local Service Provider."</w:t>
      </w:r>
    </w:p>
    <w:p w14:paraId="20F47568" w14:textId="77777777" w:rsidR="00B37835" w:rsidRPr="00B37835" w:rsidRDefault="00B37835" w:rsidP="00B37835">
      <w:pPr>
        <w:spacing w:after="195" w:line="270" w:lineRule="atLeast"/>
        <w:rPr>
          <w:rFonts w:ascii="avenir" w:eastAsia="Times New Roman" w:hAnsi="avenir" w:cs="Times New Roman"/>
          <w:color w:val="333333"/>
          <w:sz w:val="20"/>
          <w:szCs w:val="20"/>
        </w:rPr>
      </w:pPr>
      <w:r w:rsidRPr="00B37835">
        <w:rPr>
          <w:rFonts w:ascii="avenir" w:eastAsia="Times New Roman" w:hAnsi="avenir" w:cs="Times New Roman"/>
          <w:color w:val="333333"/>
          <w:sz w:val="20"/>
          <w:szCs w:val="20"/>
        </w:rPr>
        <w:t>At its May 2005 meeting, the North American Numbering Council (NANC) endorsed the LNPA-WG’s position as stated above.</w:t>
      </w:r>
    </w:p>
    <w:p w14:paraId="5D48DE56" w14:textId="77777777" w:rsidR="00B37835" w:rsidRPr="00B37835" w:rsidRDefault="00B37835" w:rsidP="00B37835">
      <w:pPr>
        <w:spacing w:after="195" w:line="270" w:lineRule="atLeast"/>
        <w:rPr>
          <w:rFonts w:ascii="avenir" w:eastAsia="Times New Roman" w:hAnsi="avenir" w:cs="Times New Roman"/>
          <w:color w:val="333333"/>
          <w:sz w:val="20"/>
          <w:szCs w:val="20"/>
        </w:rPr>
      </w:pPr>
      <w:proofErr w:type="gramStart"/>
      <w:r w:rsidRPr="00B37835">
        <w:rPr>
          <w:rFonts w:ascii="avenir" w:eastAsia="Times New Roman" w:hAnsi="avenir" w:cs="Times New Roman"/>
          <w:color w:val="333333"/>
          <w:sz w:val="20"/>
          <w:szCs w:val="20"/>
        </w:rPr>
        <w:t>Subsequent to</w:t>
      </w:r>
      <w:proofErr w:type="gramEnd"/>
      <w:r w:rsidRPr="00B37835">
        <w:rPr>
          <w:rFonts w:ascii="avenir" w:eastAsia="Times New Roman" w:hAnsi="avenir" w:cs="Times New Roman"/>
          <w:color w:val="333333"/>
          <w:sz w:val="20"/>
          <w:szCs w:val="20"/>
        </w:rPr>
        <w:t xml:space="preserve"> NANC’s endorsement of the statement above, a related issue regarding requests for Customer Service Records (CSRs) was brought to the LNPA WG.  The LNPA WG revised and endorsed its stated position as follows:</w:t>
      </w:r>
    </w:p>
    <w:p w14:paraId="4F8674FD" w14:textId="36086CA0" w:rsidR="00B37835" w:rsidRPr="00B37835" w:rsidRDefault="00B37835" w:rsidP="00B37835">
      <w:pPr>
        <w:spacing w:after="195" w:line="270" w:lineRule="atLeast"/>
        <w:rPr>
          <w:rFonts w:ascii="avenir" w:eastAsia="Times New Roman" w:hAnsi="avenir" w:cs="Times New Roman"/>
          <w:color w:val="333333"/>
          <w:sz w:val="20"/>
          <w:szCs w:val="20"/>
        </w:rPr>
      </w:pPr>
      <w:r w:rsidRPr="00B37835">
        <w:rPr>
          <w:rFonts w:ascii="avenir" w:eastAsia="Times New Roman" w:hAnsi="avenir" w:cs="Times New Roman"/>
          <w:color w:val="333333"/>
          <w:sz w:val="20"/>
          <w:szCs w:val="20"/>
        </w:rPr>
        <w:t xml:space="preserve">"It is the LNPA WG’s position that Firm Order Confirmation (FOC) of a port request, or return of requested customer information, e.g., Customer Service Record (CSR), shall not be predicated on the Old Local Service Provider obtaining a </w:t>
      </w:r>
      <w:bookmarkStart w:id="11" w:name="_Hlk171432559"/>
      <w:r w:rsidRPr="00B37835">
        <w:rPr>
          <w:rFonts w:ascii="avenir" w:eastAsia="Times New Roman" w:hAnsi="avenir" w:cs="Times New Roman"/>
          <w:color w:val="333333"/>
          <w:sz w:val="20"/>
          <w:szCs w:val="20"/>
        </w:rPr>
        <w:t>physical copy of the evidence of authorization</w:t>
      </w:r>
      <w:r w:rsidR="00636B34">
        <w:rPr>
          <w:rFonts w:ascii="avenir" w:eastAsia="Times New Roman" w:hAnsi="avenir" w:cs="Times New Roman"/>
          <w:color w:val="333333"/>
          <w:sz w:val="20"/>
          <w:szCs w:val="20"/>
        </w:rPr>
        <w:t xml:space="preserve"> *</w:t>
      </w:r>
      <w:r w:rsidR="00561885">
        <w:rPr>
          <w:rFonts w:ascii="avenir" w:eastAsia="Times New Roman" w:hAnsi="avenir" w:cs="Times New Roman"/>
          <w:color w:val="333333"/>
          <w:sz w:val="20"/>
          <w:szCs w:val="20"/>
        </w:rPr>
        <w:t xml:space="preserve"> </w:t>
      </w:r>
      <w:bookmarkEnd w:id="11"/>
      <w:r w:rsidRPr="00B37835">
        <w:rPr>
          <w:rFonts w:ascii="avenir" w:eastAsia="Times New Roman" w:hAnsi="avenir" w:cs="Times New Roman"/>
          <w:color w:val="333333"/>
          <w:sz w:val="20"/>
          <w:szCs w:val="20"/>
        </w:rPr>
        <w:t>from the New Local Service Provider.  In the event of an end user allegation of an unauthorized change, the New Local Service Provider shall, upon request and in accordance with all applicable laws and rules, provide the evidence of authorization to the Old Local Service Provider."</w:t>
      </w:r>
    </w:p>
    <w:p w14:paraId="7442EF64" w14:textId="77777777" w:rsidR="00B37835" w:rsidRDefault="00B37835" w:rsidP="00B37835">
      <w:pPr>
        <w:spacing w:after="195" w:line="270" w:lineRule="atLeast"/>
        <w:rPr>
          <w:rFonts w:ascii="avenir" w:eastAsia="Times New Roman" w:hAnsi="avenir" w:cs="Times New Roman"/>
          <w:color w:val="333333"/>
          <w:sz w:val="20"/>
          <w:szCs w:val="20"/>
        </w:rPr>
      </w:pPr>
      <w:r w:rsidRPr="00B37835">
        <w:rPr>
          <w:rFonts w:ascii="avenir" w:eastAsia="Times New Roman" w:hAnsi="avenir" w:cs="Times New Roman"/>
          <w:color w:val="333333"/>
          <w:sz w:val="20"/>
          <w:szCs w:val="20"/>
        </w:rPr>
        <w:t xml:space="preserve">At the November 30, </w:t>
      </w:r>
      <w:proofErr w:type="gramStart"/>
      <w:r w:rsidRPr="00B37835">
        <w:rPr>
          <w:rFonts w:ascii="avenir" w:eastAsia="Times New Roman" w:hAnsi="avenir" w:cs="Times New Roman"/>
          <w:color w:val="333333"/>
          <w:sz w:val="20"/>
          <w:szCs w:val="20"/>
        </w:rPr>
        <w:t>2005</w:t>
      </w:r>
      <w:proofErr w:type="gramEnd"/>
      <w:r w:rsidRPr="00B37835">
        <w:rPr>
          <w:rFonts w:ascii="avenir" w:eastAsia="Times New Roman" w:hAnsi="avenir" w:cs="Times New Roman"/>
          <w:color w:val="333333"/>
          <w:sz w:val="20"/>
          <w:szCs w:val="20"/>
        </w:rPr>
        <w:t xml:space="preserve"> NANC meeting, the LNPA WG requested and received NANC’s endorsement of the revised position statement.</w:t>
      </w:r>
    </w:p>
    <w:p w14:paraId="46E6B53B" w14:textId="1CEA96D0" w:rsidR="00B37835" w:rsidRPr="00B37835" w:rsidRDefault="00636B34" w:rsidP="00B37835">
      <w:pPr>
        <w:spacing w:after="195" w:line="270" w:lineRule="atLeast"/>
        <w:rPr>
          <w:rFonts w:ascii="avenir" w:eastAsia="Times New Roman" w:hAnsi="avenir" w:cs="Times New Roman"/>
          <w:color w:val="333333"/>
          <w:sz w:val="20"/>
          <w:szCs w:val="20"/>
        </w:rPr>
      </w:pPr>
      <w:r>
        <w:rPr>
          <w:rFonts w:ascii="avenir" w:eastAsia="Times New Roman" w:hAnsi="avenir" w:cs="Times New Roman"/>
          <w:color w:val="333333"/>
          <w:sz w:val="20"/>
          <w:szCs w:val="20"/>
        </w:rPr>
        <w:t xml:space="preserve">* </w:t>
      </w:r>
      <w:r w:rsidR="00B37835" w:rsidRPr="00B37835">
        <w:rPr>
          <w:rFonts w:ascii="avenir" w:eastAsia="Times New Roman" w:hAnsi="avenir" w:cs="Times New Roman"/>
          <w:color w:val="333333"/>
          <w:sz w:val="20"/>
          <w:szCs w:val="20"/>
        </w:rPr>
        <w:t>NOTE:  Evidence of authorization may consist of a Letter of Authorization (LOA) to review the end user’s account and port his number, which may include a written contract with the end user or electronic signature, Proof of Authorization (POA), 3</w:t>
      </w:r>
      <w:r w:rsidR="00B37835" w:rsidRPr="00B37835">
        <w:rPr>
          <w:rFonts w:ascii="avenir" w:eastAsia="Times New Roman" w:hAnsi="avenir" w:cs="Times New Roman"/>
          <w:color w:val="333333"/>
          <w:sz w:val="20"/>
          <w:szCs w:val="20"/>
          <w:vertAlign w:val="superscript"/>
        </w:rPr>
        <w:t>rd</w:t>
      </w:r>
      <w:r w:rsidR="00B37835" w:rsidRPr="00B37835">
        <w:rPr>
          <w:rFonts w:ascii="avenir" w:eastAsia="Times New Roman" w:hAnsi="avenir" w:cs="Times New Roman"/>
          <w:color w:val="333333"/>
          <w:sz w:val="20"/>
          <w:szCs w:val="20"/>
        </w:rPr>
        <w:t> party verification, a voice recording verifying the end user’s request to switch local carriers, oral authorization with a unique identifier given by the end user, etc.</w:t>
      </w:r>
    </w:p>
    <w:p w14:paraId="1BC37379" w14:textId="77777777" w:rsidR="00460535" w:rsidRDefault="00460535"/>
    <w:sectPr w:rsidR="0046053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E0F986" w14:textId="77777777" w:rsidR="008475D1" w:rsidRDefault="008475D1" w:rsidP="008475D1">
      <w:pPr>
        <w:spacing w:after="0" w:line="240" w:lineRule="auto"/>
      </w:pPr>
      <w:r>
        <w:separator/>
      </w:r>
    </w:p>
  </w:endnote>
  <w:endnote w:type="continuationSeparator" w:id="0">
    <w:p w14:paraId="1A21D064" w14:textId="77777777" w:rsidR="008475D1" w:rsidRDefault="008475D1" w:rsidP="00847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903E16" w14:textId="77777777" w:rsidR="008475D1" w:rsidRDefault="008475D1" w:rsidP="008475D1">
      <w:pPr>
        <w:spacing w:after="0" w:line="240" w:lineRule="auto"/>
      </w:pPr>
      <w:r>
        <w:separator/>
      </w:r>
    </w:p>
  </w:footnote>
  <w:footnote w:type="continuationSeparator" w:id="0">
    <w:p w14:paraId="71121890" w14:textId="77777777" w:rsidR="008475D1" w:rsidRDefault="008475D1" w:rsidP="00847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13772" w14:textId="382BF6AC" w:rsidR="008475D1" w:rsidRPr="00D539C9" w:rsidRDefault="008475D1" w:rsidP="008475D1">
    <w:pPr>
      <w:spacing w:before="360" w:after="60" w:line="240" w:lineRule="auto"/>
      <w:outlineLvl w:val="1"/>
      <w:rPr>
        <w:rFonts w:ascii="avenir" w:eastAsia="Times New Roman" w:hAnsi="avenir" w:cs="Times New Roman"/>
        <w:b/>
        <w:bCs/>
        <w:color w:val="333333"/>
        <w:sz w:val="32"/>
        <w:szCs w:val="28"/>
        <w:u w:val="single"/>
      </w:rPr>
    </w:pPr>
    <w:bookmarkStart w:id="12" w:name="_Hlk118106270"/>
    <w:r w:rsidRPr="00990F71">
      <w:rPr>
        <w:rFonts w:ascii="avenir" w:eastAsia="Times New Roman" w:hAnsi="avenir" w:cs="Times New Roman"/>
        <w:b/>
        <w:bCs/>
        <w:color w:val="333333"/>
        <w:sz w:val="32"/>
        <w:szCs w:val="28"/>
        <w:u w:val="single"/>
      </w:rPr>
      <w:t>Number Portability Best Practice</w:t>
    </w:r>
    <w:r w:rsidRPr="00990F71">
      <w:rPr>
        <w:rFonts w:ascii="avenir" w:eastAsia="Times New Roman" w:hAnsi="avenir" w:cs="Times New Roman"/>
        <w:b/>
        <w:bCs/>
        <w:color w:val="333333"/>
        <w:sz w:val="32"/>
        <w:szCs w:val="28"/>
      </w:rPr>
      <w:tab/>
    </w:r>
    <w:r w:rsidRPr="00990F71">
      <w:rPr>
        <w:rFonts w:ascii="avenir" w:eastAsia="Times New Roman" w:hAnsi="avenir" w:cs="Times New Roman"/>
        <w:b/>
        <w:bCs/>
        <w:color w:val="333333"/>
        <w:sz w:val="32"/>
        <w:szCs w:val="28"/>
      </w:rPr>
      <w:tab/>
    </w:r>
    <w:r w:rsidRPr="00990F71">
      <w:rPr>
        <w:rFonts w:ascii="avenir" w:eastAsia="Times New Roman" w:hAnsi="avenir" w:cs="Times New Roman"/>
        <w:b/>
        <w:bCs/>
        <w:color w:val="333333"/>
        <w:sz w:val="32"/>
        <w:szCs w:val="28"/>
      </w:rPr>
      <w:tab/>
    </w:r>
    <w:r>
      <w:rPr>
        <w:rFonts w:ascii="avenir" w:eastAsia="Times New Roman" w:hAnsi="avenir" w:cs="Times New Roman"/>
        <w:b/>
        <w:bCs/>
        <w:color w:val="333333"/>
        <w:sz w:val="32"/>
        <w:szCs w:val="28"/>
      </w:rPr>
      <w:tab/>
    </w:r>
    <w:r w:rsidRPr="00990F71">
      <w:rPr>
        <w:rFonts w:ascii="avenir" w:eastAsia="Times New Roman" w:hAnsi="avenir" w:cs="Times New Roman"/>
        <w:b/>
        <w:bCs/>
        <w:color w:val="333333"/>
        <w:sz w:val="32"/>
        <w:szCs w:val="28"/>
      </w:rPr>
      <w:t xml:space="preserve">BP# </w:t>
    </w:r>
    <w:r>
      <w:rPr>
        <w:rFonts w:ascii="avenir" w:eastAsia="Times New Roman" w:hAnsi="avenir" w:cs="Times New Roman"/>
        <w:b/>
        <w:bCs/>
        <w:color w:val="333333"/>
        <w:sz w:val="32"/>
        <w:szCs w:val="28"/>
      </w:rPr>
      <w:t>037</w:t>
    </w:r>
  </w:p>
  <w:bookmarkEnd w:id="12"/>
  <w:p w14:paraId="055E42F1" w14:textId="77777777" w:rsidR="008475D1" w:rsidRDefault="008475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955702"/>
    <w:multiLevelType w:val="multilevel"/>
    <w:tmpl w:val="3BD6F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B405B6"/>
    <w:multiLevelType w:val="multilevel"/>
    <w:tmpl w:val="9970C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E07783"/>
    <w:multiLevelType w:val="hybridMultilevel"/>
    <w:tmpl w:val="67DCB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407436">
    <w:abstractNumId w:val="1"/>
  </w:num>
  <w:num w:numId="2" w16cid:durableId="280572145">
    <w:abstractNumId w:val="0"/>
  </w:num>
  <w:num w:numId="3" w16cid:durableId="1900818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835"/>
    <w:rsid w:val="0008235B"/>
    <w:rsid w:val="000827A8"/>
    <w:rsid w:val="000B0BAE"/>
    <w:rsid w:val="000D40DB"/>
    <w:rsid w:val="00222B30"/>
    <w:rsid w:val="002C3A96"/>
    <w:rsid w:val="00305F70"/>
    <w:rsid w:val="003231DA"/>
    <w:rsid w:val="003363B2"/>
    <w:rsid w:val="003A5284"/>
    <w:rsid w:val="00460535"/>
    <w:rsid w:val="00505D50"/>
    <w:rsid w:val="0055356A"/>
    <w:rsid w:val="00561885"/>
    <w:rsid w:val="00636B34"/>
    <w:rsid w:val="007B3FBA"/>
    <w:rsid w:val="007D1F4A"/>
    <w:rsid w:val="00800665"/>
    <w:rsid w:val="008341B3"/>
    <w:rsid w:val="008475D1"/>
    <w:rsid w:val="0089334F"/>
    <w:rsid w:val="008962D0"/>
    <w:rsid w:val="0093109F"/>
    <w:rsid w:val="00947390"/>
    <w:rsid w:val="00A839CF"/>
    <w:rsid w:val="00AA0C1C"/>
    <w:rsid w:val="00B37835"/>
    <w:rsid w:val="00C0690B"/>
    <w:rsid w:val="00C3532D"/>
    <w:rsid w:val="00C472C4"/>
    <w:rsid w:val="00C517DD"/>
    <w:rsid w:val="00C757E5"/>
    <w:rsid w:val="00CC4A0D"/>
    <w:rsid w:val="00D87E52"/>
    <w:rsid w:val="00DB5E25"/>
    <w:rsid w:val="00DC2629"/>
    <w:rsid w:val="00EC0EDD"/>
    <w:rsid w:val="00EC1663"/>
    <w:rsid w:val="00F21462"/>
    <w:rsid w:val="00F5141F"/>
    <w:rsid w:val="00FA5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79215"/>
  <w15:chartTrackingRefBased/>
  <w15:docId w15:val="{615C5E99-4135-42EA-815C-0FB4B1032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378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B3783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3783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B3783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B378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37835"/>
    <w:rPr>
      <w:color w:val="0000FF"/>
      <w:u w:val="single"/>
    </w:rPr>
  </w:style>
  <w:style w:type="paragraph" w:styleId="Header">
    <w:name w:val="header"/>
    <w:basedOn w:val="Normal"/>
    <w:link w:val="HeaderChar"/>
    <w:uiPriority w:val="99"/>
    <w:unhideWhenUsed/>
    <w:rsid w:val="008475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5D1"/>
  </w:style>
  <w:style w:type="paragraph" w:styleId="Footer">
    <w:name w:val="footer"/>
    <w:basedOn w:val="Normal"/>
    <w:link w:val="FooterChar"/>
    <w:uiPriority w:val="99"/>
    <w:unhideWhenUsed/>
    <w:rsid w:val="008475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5D1"/>
  </w:style>
  <w:style w:type="paragraph" w:styleId="Revision">
    <w:name w:val="Revision"/>
    <w:hidden/>
    <w:uiPriority w:val="99"/>
    <w:semiHidden/>
    <w:rsid w:val="00FA5F07"/>
    <w:pPr>
      <w:spacing w:after="0" w:line="240" w:lineRule="auto"/>
    </w:pPr>
  </w:style>
  <w:style w:type="paragraph" w:styleId="ListParagraph">
    <w:name w:val="List Paragraph"/>
    <w:basedOn w:val="Normal"/>
    <w:uiPriority w:val="34"/>
    <w:qFormat/>
    <w:rsid w:val="00FA5F07"/>
    <w:pPr>
      <w:ind w:left="720"/>
      <w:contextualSpacing/>
    </w:pPr>
  </w:style>
  <w:style w:type="character" w:styleId="UnresolvedMention">
    <w:name w:val="Unresolved Mention"/>
    <w:basedOn w:val="DefaultParagraphFont"/>
    <w:uiPriority w:val="99"/>
    <w:semiHidden/>
    <w:unhideWhenUsed/>
    <w:rsid w:val="008341B3"/>
    <w:rPr>
      <w:color w:val="605E5C"/>
      <w:shd w:val="clear" w:color="auto" w:fill="E1DFDD"/>
    </w:rPr>
  </w:style>
  <w:style w:type="character" w:styleId="FollowedHyperlink">
    <w:name w:val="FollowedHyperlink"/>
    <w:basedOn w:val="DefaultParagraphFont"/>
    <w:uiPriority w:val="99"/>
    <w:semiHidden/>
    <w:unhideWhenUsed/>
    <w:rsid w:val="008341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890728">
      <w:bodyDiv w:val="1"/>
      <w:marLeft w:val="0"/>
      <w:marRight w:val="0"/>
      <w:marTop w:val="0"/>
      <w:marBottom w:val="0"/>
      <w:divBdr>
        <w:top w:val="none" w:sz="0" w:space="0" w:color="auto"/>
        <w:left w:val="none" w:sz="0" w:space="0" w:color="auto"/>
        <w:bottom w:val="none" w:sz="0" w:space="0" w:color="auto"/>
        <w:right w:val="none" w:sz="0" w:space="0" w:color="auto"/>
      </w:divBdr>
      <w:divsChild>
        <w:div w:id="742526084">
          <w:marLeft w:val="0"/>
          <w:marRight w:val="0"/>
          <w:marTop w:val="0"/>
          <w:marBottom w:val="0"/>
          <w:divBdr>
            <w:top w:val="none" w:sz="0" w:space="0" w:color="auto"/>
            <w:left w:val="none" w:sz="0" w:space="0" w:color="auto"/>
            <w:bottom w:val="none" w:sz="0" w:space="0" w:color="auto"/>
            <w:right w:val="none" w:sz="0" w:space="0" w:color="auto"/>
          </w:divBdr>
        </w:div>
        <w:div w:id="770012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kinggroup.numberportability.com/documents/5734/0068__Stolen_Telephone_Numbers.docx" TargetMode="External"/><Relationship Id="rId3" Type="http://schemas.openxmlformats.org/officeDocument/2006/relationships/settings" Target="settings.xml"/><Relationship Id="rId7" Type="http://schemas.openxmlformats.org/officeDocument/2006/relationships/hyperlink" Target="https://docs.fcc.gov/public/attachments/FCC-99-223A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orkinggroup.numberportability.com/documents/7541/0073_Unauthorized_Port_Flow_v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iconectiv</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Sahota, Tanvir</dc:creator>
  <cp:keywords/>
  <dc:description/>
  <cp:lastModifiedBy>Doherty, Michael</cp:lastModifiedBy>
  <cp:revision>3</cp:revision>
  <dcterms:created xsi:type="dcterms:W3CDTF">2024-08-13T21:24:00Z</dcterms:created>
  <dcterms:modified xsi:type="dcterms:W3CDTF">2024-08-13T21:24:00Z</dcterms:modified>
</cp:coreProperties>
</file>