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C484" w14:textId="77777777" w:rsidR="00B03E38" w:rsidRPr="00EA4D06" w:rsidRDefault="00B03E38" w:rsidP="00B03E38">
      <w:pPr>
        <w:jc w:val="center"/>
        <w:rPr>
          <w:rFonts w:ascii="Calibri" w:hAnsi="Calibri" w:cs="Calibri"/>
          <w:b/>
          <w:sz w:val="32"/>
          <w:szCs w:val="32"/>
        </w:rPr>
      </w:pPr>
      <w:r w:rsidRPr="00EA4D06">
        <w:rPr>
          <w:rFonts w:ascii="Calibri" w:hAnsi="Calibri" w:cs="Calibri"/>
          <w:b/>
          <w:sz w:val="32"/>
          <w:szCs w:val="32"/>
        </w:rPr>
        <w:t>NPIF Meeting</w:t>
      </w:r>
    </w:p>
    <w:p w14:paraId="6A72CB86" w14:textId="77777777" w:rsidR="00B03E38" w:rsidRPr="00EA4D06" w:rsidRDefault="00B03E38" w:rsidP="00B03E38">
      <w:pPr>
        <w:jc w:val="center"/>
        <w:rPr>
          <w:rFonts w:ascii="Calibri" w:hAnsi="Calibri" w:cs="Calibri"/>
          <w:b/>
          <w:sz w:val="28"/>
          <w:szCs w:val="28"/>
        </w:rPr>
      </w:pPr>
      <w:r w:rsidRPr="00EA4D06">
        <w:rPr>
          <w:rFonts w:ascii="Calibri" w:hAnsi="Calibri" w:cs="Calibri"/>
          <w:b/>
          <w:sz w:val="28"/>
          <w:szCs w:val="28"/>
        </w:rPr>
        <w:t>August 7</w:t>
      </w:r>
      <w:r w:rsidRPr="00EA4D06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Pr="00EA4D06">
        <w:rPr>
          <w:rFonts w:ascii="Calibri" w:hAnsi="Calibri" w:cs="Calibri"/>
          <w:b/>
          <w:sz w:val="28"/>
          <w:szCs w:val="28"/>
        </w:rPr>
        <w:t>, 2024, 11:00 AM ET – 1:00 PM ET</w:t>
      </w:r>
    </w:p>
    <w:p w14:paraId="279B9D3E" w14:textId="77777777" w:rsidR="00B03E38" w:rsidRPr="00EA4D06" w:rsidRDefault="00B03E38" w:rsidP="00B03E38">
      <w:pPr>
        <w:spacing w:after="0"/>
        <w:jc w:val="center"/>
        <w:rPr>
          <w:rFonts w:ascii="Calibri" w:hAnsi="Calibri" w:cs="Calibri"/>
          <w:color w:val="242424"/>
        </w:rPr>
      </w:pPr>
    </w:p>
    <w:p w14:paraId="17EC14CA" w14:textId="77777777" w:rsidR="00B03E38" w:rsidRPr="00F851A9" w:rsidRDefault="00B03E38" w:rsidP="00B03E38">
      <w:pPr>
        <w:pStyle w:val="ListParagraph"/>
        <w:numPr>
          <w:ilvl w:val="0"/>
          <w:numId w:val="4"/>
        </w:numPr>
        <w:rPr>
          <w:rFonts w:ascii="Calibri" w:hAnsi="Calibri" w:cs="Calibri"/>
          <w:b/>
        </w:rPr>
      </w:pPr>
      <w:r w:rsidRPr="00EA4D06">
        <w:rPr>
          <w:rFonts w:ascii="Calibri" w:hAnsi="Calibri" w:cs="Calibri"/>
          <w:b/>
          <w:sz w:val="24"/>
          <w:szCs w:val="24"/>
        </w:rPr>
        <w:t>Attendee Introductions &amp; Agenda Review</w:t>
      </w:r>
      <w:r w:rsidRPr="00EA4D06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- Teresa P.</w:t>
      </w:r>
      <w:r w:rsidRPr="000C2563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(AT&amp;T) </w:t>
      </w:r>
      <w:r w:rsidRPr="000C2563">
        <w:rPr>
          <w:rFonts w:cstheme="minorHAnsi"/>
          <w:bCs/>
          <w:sz w:val="20"/>
          <w:szCs w:val="20"/>
        </w:rPr>
        <w:t>welcomed everyone and reviewed the agend</w:t>
      </w:r>
      <w:r>
        <w:rPr>
          <w:rFonts w:cstheme="minorHAnsi"/>
          <w:bCs/>
          <w:sz w:val="20"/>
          <w:szCs w:val="20"/>
        </w:rPr>
        <w:t>a</w:t>
      </w:r>
    </w:p>
    <w:p w14:paraId="56E644E0" w14:textId="77777777" w:rsidR="00B03E38" w:rsidRPr="005F51C9" w:rsidRDefault="00B03E38" w:rsidP="00B03E38">
      <w:pPr>
        <w:pStyle w:val="ListParagraph"/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EA4D06">
        <w:rPr>
          <w:rFonts w:ascii="Calibri" w:hAnsi="Calibri" w:cs="Calibri"/>
          <w:b/>
          <w:sz w:val="24"/>
          <w:szCs w:val="24"/>
        </w:rPr>
        <w:t>Antitrust Notice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F51C9">
        <w:rPr>
          <w:rFonts w:ascii="Calibri" w:hAnsi="Calibri" w:cs="Calibri"/>
          <w:bCs/>
          <w:sz w:val="20"/>
          <w:szCs w:val="20"/>
        </w:rPr>
        <w:t>– Teresa P. read the Antitrust Notice</w:t>
      </w:r>
    </w:p>
    <w:p w14:paraId="5AED27C1" w14:textId="77777777" w:rsidR="00B03E38" w:rsidRPr="00EA4D06" w:rsidRDefault="00B03E38" w:rsidP="00B03E38">
      <w:pPr>
        <w:ind w:left="360"/>
        <w:rPr>
          <w:rFonts w:ascii="Calibri" w:hAnsi="Calibri" w:cs="Calibri"/>
          <w:b/>
          <w:sz w:val="24"/>
          <w:szCs w:val="24"/>
        </w:rPr>
      </w:pPr>
      <w:r w:rsidRPr="00EA4D06">
        <w:rPr>
          <w:rFonts w:ascii="Calibri" w:eastAsia="Calibri" w:hAnsi="Calibri" w:cs="Calibri"/>
          <w:i/>
          <w:sz w:val="20"/>
          <w:szCs w:val="20"/>
        </w:rPr>
        <w:t>Attendees are reminded that participation in industry fora involves the potential for antitrust concerns or risks. To avoid such concerns/risks, participants should not discuss or exchange information on price, costs, business plans, or any other confidential or commercially sensitive topics.</w:t>
      </w:r>
    </w:p>
    <w:p w14:paraId="571B03E8" w14:textId="0AE89D85" w:rsidR="00B03E38" w:rsidRPr="002B10A8" w:rsidRDefault="00B03E38" w:rsidP="00B03E38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8"/>
        </w:rPr>
      </w:pPr>
      <w:r w:rsidRPr="00EA4D06">
        <w:rPr>
          <w:rFonts w:ascii="Calibri" w:hAnsi="Calibri" w:cs="Calibri"/>
          <w:b/>
          <w:sz w:val="24"/>
          <w:szCs w:val="28"/>
        </w:rPr>
        <w:t xml:space="preserve">7/10/2024 Meeting Notes </w:t>
      </w:r>
      <w:r>
        <w:rPr>
          <w:rFonts w:ascii="Calibri" w:hAnsi="Calibri" w:cs="Calibri"/>
          <w:b/>
          <w:sz w:val="24"/>
          <w:szCs w:val="28"/>
        </w:rPr>
        <w:t xml:space="preserve">– </w:t>
      </w:r>
      <w:r>
        <w:rPr>
          <w:rFonts w:cstheme="minorHAnsi"/>
          <w:bCs/>
          <w:sz w:val="20"/>
          <w:szCs w:val="20"/>
        </w:rPr>
        <w:t xml:space="preserve">Meeting minutes were accepted.  </w:t>
      </w:r>
      <w:r w:rsidRPr="002B10A8">
        <w:rPr>
          <w:rFonts w:cstheme="minorHAnsi"/>
          <w:bCs/>
          <w:sz w:val="20"/>
          <w:szCs w:val="20"/>
        </w:rPr>
        <w:t xml:space="preserve">CMA to post to website.  Change document to hyperlink link when </w:t>
      </w:r>
      <w:r w:rsidR="00991337" w:rsidRPr="002B10A8">
        <w:rPr>
          <w:rFonts w:cstheme="minorHAnsi"/>
          <w:bCs/>
          <w:sz w:val="20"/>
          <w:szCs w:val="20"/>
        </w:rPr>
        <w:t>it’s</w:t>
      </w:r>
      <w:r w:rsidRPr="002B10A8">
        <w:rPr>
          <w:rFonts w:cstheme="minorHAnsi"/>
          <w:bCs/>
          <w:sz w:val="20"/>
          <w:szCs w:val="20"/>
        </w:rPr>
        <w:t xml:space="preserve"> posted</w:t>
      </w:r>
      <w:r w:rsidR="004C6C1D">
        <w:rPr>
          <w:rFonts w:cstheme="minorHAnsi"/>
          <w:bCs/>
          <w:sz w:val="20"/>
          <w:szCs w:val="20"/>
        </w:rPr>
        <w:t xml:space="preserve"> to website</w:t>
      </w:r>
    </w:p>
    <w:p w14:paraId="4271D198" w14:textId="700CD076" w:rsidR="00B03E38" w:rsidRDefault="00B03E38" w:rsidP="00B03E38">
      <w:pPr>
        <w:rPr>
          <w:rFonts w:ascii="Calibri" w:hAnsi="Calibri" w:cs="Calibri"/>
          <w:b/>
          <w:sz w:val="24"/>
          <w:szCs w:val="28"/>
        </w:rPr>
      </w:pPr>
      <w:r w:rsidRPr="00EA4D06">
        <w:rPr>
          <w:rFonts w:ascii="Calibri" w:hAnsi="Calibri" w:cs="Calibri"/>
          <w:b/>
          <w:sz w:val="24"/>
          <w:szCs w:val="28"/>
        </w:rPr>
        <w:t xml:space="preserve">  </w:t>
      </w:r>
      <w:hyperlink r:id="rId5" w:history="1">
        <w:r w:rsidR="006C7B37" w:rsidRPr="00F76334">
          <w:rPr>
            <w:rStyle w:val="Hyperlink"/>
            <w:rFonts w:ascii="Calibri" w:hAnsi="Calibri" w:cs="Calibri"/>
            <w:b/>
            <w:sz w:val="24"/>
            <w:szCs w:val="28"/>
          </w:rPr>
          <w:t>https://workinggroup.numberportability.com/sites/workinggroup/files/2024-08/07-10-24%20NPIF%20Meeting%20Minutes%20-%20Final.docx</w:t>
        </w:r>
      </w:hyperlink>
    </w:p>
    <w:p w14:paraId="238286CB" w14:textId="77777777" w:rsidR="00B03E38" w:rsidRPr="00EA4D06" w:rsidRDefault="00B03E38" w:rsidP="00B03E38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</w:rPr>
      </w:pPr>
      <w:r w:rsidRPr="00EA4D06">
        <w:rPr>
          <w:rFonts w:ascii="Calibri" w:hAnsi="Calibri" w:cs="Calibri"/>
          <w:b/>
          <w:bCs/>
          <w:sz w:val="24"/>
          <w:szCs w:val="24"/>
        </w:rPr>
        <w:t>Sub Team updates &amp; Industry Groups Liaison Reports</w:t>
      </w:r>
    </w:p>
    <w:tbl>
      <w:tblPr>
        <w:tblStyle w:val="TableGrid"/>
        <w:tblW w:w="10188" w:type="dxa"/>
        <w:tblInd w:w="-113" w:type="dxa"/>
        <w:tblLook w:val="04A0" w:firstRow="1" w:lastRow="0" w:firstColumn="1" w:lastColumn="0" w:noHBand="0" w:noVBand="1"/>
      </w:tblPr>
      <w:tblGrid>
        <w:gridCol w:w="1516"/>
        <w:gridCol w:w="5612"/>
        <w:gridCol w:w="3060"/>
      </w:tblGrid>
      <w:tr w:rsidR="00B03E38" w:rsidRPr="00EA4D06" w14:paraId="5380B727" w14:textId="77777777" w:rsidTr="00D670A5">
        <w:trPr>
          <w:tblHeader/>
        </w:trPr>
        <w:tc>
          <w:tcPr>
            <w:tcW w:w="1516" w:type="dxa"/>
            <w:shd w:val="clear" w:color="auto" w:fill="83CAEB" w:themeFill="accent1" w:themeFillTint="66"/>
          </w:tcPr>
          <w:p w14:paraId="6179D3AA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 xml:space="preserve">Sub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EA4D06">
              <w:rPr>
                <w:rFonts w:ascii="Calibri" w:hAnsi="Calibri" w:cs="Calibri"/>
                <w:b/>
                <w:sz w:val="20"/>
                <w:szCs w:val="20"/>
              </w:rPr>
              <w:t xml:space="preserve"> Committee</w:t>
            </w:r>
          </w:p>
        </w:tc>
        <w:tc>
          <w:tcPr>
            <w:tcW w:w="5612" w:type="dxa"/>
            <w:shd w:val="clear" w:color="auto" w:fill="83CAEB" w:themeFill="accent1" w:themeFillTint="66"/>
          </w:tcPr>
          <w:p w14:paraId="19BA0A42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Updates</w:t>
            </w:r>
          </w:p>
        </w:tc>
        <w:tc>
          <w:tcPr>
            <w:tcW w:w="3060" w:type="dxa"/>
            <w:shd w:val="clear" w:color="auto" w:fill="83CAEB" w:themeFill="accent1" w:themeFillTint="66"/>
          </w:tcPr>
          <w:p w14:paraId="1128563A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Next Meeting</w:t>
            </w:r>
          </w:p>
        </w:tc>
      </w:tr>
      <w:tr w:rsidR="00B03E38" w:rsidRPr="00EA4D06" w14:paraId="117B1265" w14:textId="77777777" w:rsidTr="00D670A5">
        <w:tc>
          <w:tcPr>
            <w:tcW w:w="1516" w:type="dxa"/>
          </w:tcPr>
          <w:p w14:paraId="0BFF22F8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APT</w:t>
            </w:r>
          </w:p>
        </w:tc>
        <w:tc>
          <w:tcPr>
            <w:tcW w:w="5612" w:type="dxa"/>
          </w:tcPr>
          <w:p w14:paraId="55ED48BA" w14:textId="77777777" w:rsidR="00B03E38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John M. (iconectiv)/Renee D. (AT&amp;T)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John M (iconectiv) gave a readout.  </w:t>
            </w:r>
          </w:p>
          <w:p w14:paraId="0B0BF019" w14:textId="77777777" w:rsidR="00B03E38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Team met and reviewed a draft PIM that GUST had recognized as an open item.  PIM should be ready for review by September NPIF meeting.  LNPA has provided reporting data.</w:t>
            </w:r>
          </w:p>
          <w:p w14:paraId="6406B177" w14:textId="77777777" w:rsidR="00B03E38" w:rsidRPr="00EA4D06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APT is continuing to address the open items from the GUST. </w:t>
            </w:r>
          </w:p>
        </w:tc>
        <w:tc>
          <w:tcPr>
            <w:tcW w:w="3060" w:type="dxa"/>
          </w:tcPr>
          <w:p w14:paraId="6FD31FE2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03E38" w:rsidRPr="00EA4D06" w14:paraId="69F976F2" w14:textId="77777777" w:rsidTr="00D670A5">
        <w:tc>
          <w:tcPr>
            <w:tcW w:w="1516" w:type="dxa"/>
          </w:tcPr>
          <w:p w14:paraId="397D78BF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GUST</w:t>
            </w:r>
          </w:p>
        </w:tc>
        <w:tc>
          <w:tcPr>
            <w:tcW w:w="5612" w:type="dxa"/>
          </w:tcPr>
          <w:p w14:paraId="1D8DF8E0" w14:textId="77777777" w:rsidR="00B03E38" w:rsidRPr="00EA4D06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 xml:space="preserve">Cheryl F. (Sinch)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- GUST has not met pending an update from APT</w:t>
            </w:r>
          </w:p>
        </w:tc>
        <w:tc>
          <w:tcPr>
            <w:tcW w:w="3060" w:type="dxa"/>
          </w:tcPr>
          <w:p w14:paraId="6A9179C5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03E38" w:rsidRPr="00EA4D06" w14:paraId="3A01F528" w14:textId="77777777" w:rsidTr="00D670A5">
        <w:tc>
          <w:tcPr>
            <w:tcW w:w="1516" w:type="dxa"/>
          </w:tcPr>
          <w:p w14:paraId="22550FD6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ATIS OBF</w:t>
            </w:r>
          </w:p>
        </w:tc>
        <w:tc>
          <w:tcPr>
            <w:tcW w:w="5612" w:type="dxa"/>
          </w:tcPr>
          <w:p w14:paraId="344D4A20" w14:textId="5AB34F80" w:rsidR="00B03E38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Deb T. (Verizon)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991337">
              <w:rPr>
                <w:rFonts w:ascii="Calibri" w:hAnsi="Calibri" w:cs="Calibri"/>
                <w:bCs/>
                <w:sz w:val="20"/>
                <w:szCs w:val="20"/>
              </w:rPr>
              <w:t>gave the readout embedded below.</w:t>
            </w:r>
          </w:p>
          <w:bookmarkStart w:id="0" w:name="_MON_1785056526"/>
          <w:bookmarkEnd w:id="0"/>
          <w:p w14:paraId="14218F1C" w14:textId="77777777" w:rsidR="00B03E38" w:rsidRPr="00EA4D06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object w:dxaOrig="1508" w:dyaOrig="984" w14:anchorId="770A0C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5pt;height:49.3pt" o:ole="">
                  <v:imagedata r:id="rId6" o:title=""/>
                </v:shape>
                <o:OLEObject Type="Embed" ProgID="Word.Document.12" ShapeID="_x0000_i1026" DrawAspect="Icon" ObjectID="_1787571987" r:id="rId7">
                  <o:FieldCodes>\s</o:FieldCodes>
                </o:OLEObject>
              </w:object>
            </w:r>
          </w:p>
        </w:tc>
        <w:tc>
          <w:tcPr>
            <w:tcW w:w="3060" w:type="dxa"/>
          </w:tcPr>
          <w:p w14:paraId="667BE4B6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August 19, 2024</w:t>
            </w:r>
          </w:p>
        </w:tc>
      </w:tr>
      <w:tr w:rsidR="00B03E38" w:rsidRPr="00EA4D06" w14:paraId="2044627F" w14:textId="77777777" w:rsidTr="00D670A5">
        <w:tc>
          <w:tcPr>
            <w:tcW w:w="1516" w:type="dxa"/>
          </w:tcPr>
          <w:p w14:paraId="7826CD9A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ATIS INC</w:t>
            </w:r>
          </w:p>
        </w:tc>
        <w:tc>
          <w:tcPr>
            <w:tcW w:w="5612" w:type="dxa"/>
          </w:tcPr>
          <w:p w14:paraId="03AA977E" w14:textId="77777777" w:rsidR="00B03E38" w:rsidRPr="00EA4D06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 xml:space="preserve">Michael D. (iconectiv)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– INC had 2 interim meetings on July 11</w:t>
            </w:r>
            <w:r w:rsidRPr="00521123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&amp; 30</w:t>
            </w:r>
            <w:r w:rsidRPr="005F51C9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, 2024 to review guideline changes for the new NAS</w:t>
            </w:r>
          </w:p>
        </w:tc>
        <w:tc>
          <w:tcPr>
            <w:tcW w:w="3060" w:type="dxa"/>
          </w:tcPr>
          <w:p w14:paraId="42826AB4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August 13-14, 2024</w:t>
            </w:r>
          </w:p>
        </w:tc>
      </w:tr>
    </w:tbl>
    <w:p w14:paraId="7A835336" w14:textId="77777777" w:rsidR="00B03E38" w:rsidRPr="00EA4D06" w:rsidRDefault="00B03E38" w:rsidP="00B03E38">
      <w:pPr>
        <w:rPr>
          <w:rFonts w:ascii="Calibri" w:eastAsia="Times New Roman" w:hAnsi="Calibri" w:cs="Calibri"/>
          <w:b/>
          <w:sz w:val="24"/>
          <w:szCs w:val="24"/>
        </w:rPr>
      </w:pPr>
    </w:p>
    <w:p w14:paraId="1B1C3DD9" w14:textId="77777777" w:rsidR="00B03E38" w:rsidRPr="002B10A8" w:rsidRDefault="00B03E38" w:rsidP="00B03E38">
      <w:pPr>
        <w:pStyle w:val="Title"/>
        <w:numPr>
          <w:ilvl w:val="0"/>
          <w:numId w:val="4"/>
        </w:numPr>
        <w:spacing w:after="0"/>
        <w:contextualSpacing w:val="0"/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</w:pPr>
      <w:r w:rsidRPr="002B10A8"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  <w:t>Change Management Activities</w:t>
      </w:r>
    </w:p>
    <w:p w14:paraId="257D71CB" w14:textId="369DF6BF" w:rsidR="00B03E38" w:rsidRPr="00781525" w:rsidRDefault="00B03E38" w:rsidP="00B03E38">
      <w:pPr>
        <w:pStyle w:val="Title"/>
        <w:numPr>
          <w:ilvl w:val="0"/>
          <w:numId w:val="1"/>
        </w:numPr>
        <w:spacing w:after="0"/>
        <w:contextualSpacing w:val="0"/>
        <w:rPr>
          <w:rFonts w:ascii="Calibri" w:hAnsi="Calibri" w:cs="Calibri"/>
          <w:b/>
          <w:bCs/>
          <w:sz w:val="16"/>
          <w:szCs w:val="48"/>
        </w:rPr>
      </w:pPr>
      <w:r w:rsidRPr="00781525">
        <w:rPr>
          <w:rFonts w:ascii="Calibri" w:eastAsiaTheme="minorHAnsi" w:hAnsi="Calibri" w:cs="Calibri"/>
          <w:bCs/>
          <w:sz w:val="20"/>
        </w:rPr>
        <w:t xml:space="preserve">PIMs </w:t>
      </w:r>
      <w:r w:rsidRPr="003B361E">
        <w:rPr>
          <w:rFonts w:ascii="Calibri" w:eastAsiaTheme="minorHAnsi" w:hAnsi="Calibri" w:cs="Calibri"/>
          <w:bCs/>
          <w:sz w:val="20"/>
        </w:rPr>
        <w:t xml:space="preserve">Tracking Matrix – Matrix – </w:t>
      </w:r>
      <w:r w:rsidRPr="003B361E">
        <w:rPr>
          <w:rFonts w:asciiTheme="minorHAnsi" w:hAnsiTheme="minorHAnsi" w:cstheme="minorHAnsi"/>
          <w:bCs/>
          <w:sz w:val="20"/>
        </w:rPr>
        <w:t>CMA (Michael D.) reviewed this document.  There were no objections to the updates.  CMA will accept changes and post a clean copy to the website</w:t>
      </w:r>
      <w:r w:rsidR="003B361E">
        <w:rPr>
          <w:rFonts w:asciiTheme="minorHAnsi" w:hAnsiTheme="minorHAnsi" w:cstheme="minorHAnsi"/>
          <w:bCs/>
          <w:sz w:val="20"/>
        </w:rPr>
        <w:t>.</w:t>
      </w:r>
      <w:r w:rsidRPr="00781525">
        <w:rPr>
          <w:rFonts w:ascii="Calibri" w:hAnsi="Calibri" w:cs="Calibri"/>
          <w:bCs/>
          <w:sz w:val="48"/>
        </w:rPr>
        <w:t xml:space="preserve"> </w:t>
      </w:r>
    </w:p>
    <w:tbl>
      <w:tblPr>
        <w:tblStyle w:val="TableGrid"/>
        <w:tblW w:w="101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37"/>
        <w:gridCol w:w="3298"/>
        <w:gridCol w:w="4433"/>
        <w:gridCol w:w="1620"/>
      </w:tblGrid>
      <w:tr w:rsidR="00B03E38" w:rsidRPr="00EA4D06" w14:paraId="3F9146D9" w14:textId="77777777" w:rsidTr="00D670A5">
        <w:trPr>
          <w:tblHeader/>
        </w:trPr>
        <w:tc>
          <w:tcPr>
            <w:tcW w:w="10188" w:type="dxa"/>
            <w:gridSpan w:val="4"/>
            <w:shd w:val="clear" w:color="auto" w:fill="83CAEB" w:themeFill="accent1" w:themeFillTint="66"/>
          </w:tcPr>
          <w:p w14:paraId="588348EB" w14:textId="77777777" w:rsidR="00B03E38" w:rsidRPr="002B10A8" w:rsidRDefault="00B03E38" w:rsidP="002B10A8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B10A8">
              <w:rPr>
                <w:rFonts w:ascii="Calibri" w:hAnsi="Calibri" w:cs="Calibri"/>
                <w:b/>
                <w:bCs/>
                <w:sz w:val="20"/>
              </w:rPr>
              <w:t>PIMs Review</w:t>
            </w:r>
          </w:p>
        </w:tc>
      </w:tr>
      <w:tr w:rsidR="00B03E38" w:rsidRPr="00EA4D06" w14:paraId="6E3924F7" w14:textId="77777777" w:rsidTr="00D670A5">
        <w:trPr>
          <w:tblHeader/>
        </w:trPr>
        <w:tc>
          <w:tcPr>
            <w:tcW w:w="837" w:type="dxa"/>
            <w:shd w:val="clear" w:color="auto" w:fill="83CAEB" w:themeFill="accent1" w:themeFillTint="66"/>
          </w:tcPr>
          <w:p w14:paraId="4357C6C0" w14:textId="77777777" w:rsidR="00B03E38" w:rsidRPr="002B10A8" w:rsidRDefault="00B03E38" w:rsidP="00D670A5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2B10A8">
              <w:rPr>
                <w:rFonts w:ascii="Calibri" w:hAnsi="Calibri" w:cs="Calibri"/>
                <w:b/>
                <w:sz w:val="20"/>
              </w:rPr>
              <w:t>PIM</w:t>
            </w:r>
          </w:p>
        </w:tc>
        <w:tc>
          <w:tcPr>
            <w:tcW w:w="3298" w:type="dxa"/>
            <w:shd w:val="clear" w:color="auto" w:fill="83CAEB" w:themeFill="accent1" w:themeFillTint="66"/>
          </w:tcPr>
          <w:p w14:paraId="19709E60" w14:textId="77777777" w:rsidR="00B03E38" w:rsidRPr="002B10A8" w:rsidRDefault="00B03E38" w:rsidP="00D670A5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2B10A8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433" w:type="dxa"/>
            <w:shd w:val="clear" w:color="auto" w:fill="83CAEB" w:themeFill="accent1" w:themeFillTint="66"/>
          </w:tcPr>
          <w:p w14:paraId="10788E90" w14:textId="77777777" w:rsidR="00B03E38" w:rsidRPr="002B10A8" w:rsidRDefault="00B03E38" w:rsidP="00D670A5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2B10A8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7C01DAF0" w14:textId="77777777" w:rsidR="00B03E38" w:rsidRPr="002B10A8" w:rsidRDefault="00B03E38" w:rsidP="00D670A5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2B10A8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B03E38" w:rsidRPr="00EA4D06" w14:paraId="3C655B0C" w14:textId="77777777" w:rsidTr="00D670A5">
        <w:tc>
          <w:tcPr>
            <w:tcW w:w="837" w:type="dxa"/>
          </w:tcPr>
          <w:p w14:paraId="214C1AA2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136</w:t>
            </w:r>
          </w:p>
        </w:tc>
        <w:tc>
          <w:tcPr>
            <w:tcW w:w="3298" w:type="dxa"/>
          </w:tcPr>
          <w:p w14:paraId="7FA678E9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LSMS Performance – 10X People/iconectiv</w:t>
            </w:r>
          </w:p>
        </w:tc>
        <w:tc>
          <w:tcPr>
            <w:tcW w:w="4433" w:type="dxa"/>
          </w:tcPr>
          <w:p w14:paraId="30798E76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No update</w:t>
            </w:r>
          </w:p>
        </w:tc>
        <w:tc>
          <w:tcPr>
            <w:tcW w:w="1620" w:type="dxa"/>
          </w:tcPr>
          <w:p w14:paraId="425B1C9C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B03E38" w:rsidRPr="00EA4D06" w14:paraId="69701398" w14:textId="77777777" w:rsidTr="00D670A5">
        <w:tc>
          <w:tcPr>
            <w:tcW w:w="837" w:type="dxa"/>
          </w:tcPr>
          <w:p w14:paraId="1762B50D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152</w:t>
            </w:r>
          </w:p>
        </w:tc>
        <w:tc>
          <w:tcPr>
            <w:tcW w:w="3298" w:type="dxa"/>
          </w:tcPr>
          <w:p w14:paraId="40C87775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NANPA to request NPAC data each business day as needed - Verizon</w:t>
            </w:r>
          </w:p>
        </w:tc>
        <w:tc>
          <w:tcPr>
            <w:tcW w:w="4433" w:type="dxa"/>
          </w:tcPr>
          <w:p w14:paraId="659BA522" w14:textId="77777777" w:rsidR="00B03E38" w:rsidRPr="005A03A4" w:rsidRDefault="00B03E38" w:rsidP="00D670A5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5A03A4">
              <w:rPr>
                <w:rFonts w:ascii="Calibri" w:hAnsi="Calibri" w:cs="Calibri"/>
                <w:bCs/>
                <w:sz w:val="20"/>
              </w:rPr>
              <w:t>No update</w:t>
            </w:r>
          </w:p>
        </w:tc>
        <w:tc>
          <w:tcPr>
            <w:tcW w:w="1620" w:type="dxa"/>
          </w:tcPr>
          <w:p w14:paraId="1F1AFD31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B03E38" w:rsidRPr="00EA4D06" w14:paraId="6E6B6E71" w14:textId="77777777" w:rsidTr="00D670A5">
        <w:tc>
          <w:tcPr>
            <w:tcW w:w="837" w:type="dxa"/>
          </w:tcPr>
          <w:p w14:paraId="0BACA369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TBD</w:t>
            </w:r>
          </w:p>
        </w:tc>
        <w:tc>
          <w:tcPr>
            <w:tcW w:w="3298" w:type="dxa"/>
          </w:tcPr>
          <w:p w14:paraId="7905A9EA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Pseudo-LRN Blocks in SPID Migrations - iconectiv</w:t>
            </w:r>
          </w:p>
        </w:tc>
        <w:tc>
          <w:tcPr>
            <w:tcW w:w="4433" w:type="dxa"/>
          </w:tcPr>
          <w:p w14:paraId="69546DBE" w14:textId="159EDC1B" w:rsidR="00B03E38" w:rsidRPr="005A03A4" w:rsidRDefault="00B03E38" w:rsidP="00B03E38">
            <w:pPr>
              <w:pStyle w:val="ListParagraph"/>
              <w:numPr>
                <w:ilvl w:val="0"/>
                <w:numId w:val="1"/>
              </w:numPr>
              <w:ind w:left="369"/>
              <w:jc w:val="both"/>
              <w:rPr>
                <w:rFonts w:ascii="Calibri" w:hAnsi="Calibri" w:cs="Calibri"/>
                <w:bCs/>
                <w:sz w:val="20"/>
              </w:rPr>
            </w:pPr>
            <w:r w:rsidRPr="005A03A4">
              <w:rPr>
                <w:rFonts w:ascii="Calibri" w:hAnsi="Calibri" w:cs="Calibri"/>
                <w:bCs/>
                <w:sz w:val="20"/>
              </w:rPr>
              <w:t>Matt T. (iconectiv) reviewed this draft PIM</w:t>
            </w:r>
          </w:p>
          <w:p w14:paraId="6702F60D" w14:textId="77777777" w:rsidR="00B03E38" w:rsidRDefault="00B03E38" w:rsidP="00B03E38">
            <w:pPr>
              <w:pStyle w:val="ListParagraph"/>
              <w:numPr>
                <w:ilvl w:val="0"/>
                <w:numId w:val="1"/>
              </w:numPr>
              <w:ind w:left="369"/>
              <w:jc w:val="both"/>
              <w:rPr>
                <w:rFonts w:ascii="Calibri" w:hAnsi="Calibri" w:cs="Calibri"/>
                <w:bCs/>
                <w:sz w:val="20"/>
              </w:rPr>
            </w:pPr>
            <w:r w:rsidRPr="005A03A4">
              <w:rPr>
                <w:rFonts w:ascii="Calibri" w:hAnsi="Calibri" w:cs="Calibri"/>
                <w:bCs/>
                <w:sz w:val="20"/>
              </w:rPr>
              <w:lastRenderedPageBreak/>
              <w:t>PIM was discussed, accepted and assigned #</w:t>
            </w:r>
            <w:r>
              <w:rPr>
                <w:rFonts w:ascii="Calibri" w:hAnsi="Calibri" w:cs="Calibri"/>
                <w:bCs/>
                <w:sz w:val="20"/>
              </w:rPr>
              <w:t xml:space="preserve"> 154</w:t>
            </w:r>
          </w:p>
          <w:p w14:paraId="77A63D5E" w14:textId="77777777" w:rsidR="00B03E38" w:rsidRPr="002B10A8" w:rsidRDefault="00B03E38" w:rsidP="00B03E38">
            <w:pPr>
              <w:pStyle w:val="ListParagraph"/>
              <w:numPr>
                <w:ilvl w:val="0"/>
                <w:numId w:val="1"/>
              </w:numPr>
              <w:ind w:left="369"/>
              <w:jc w:val="both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There are thousands of pool blocks with pseudo LRNs across all 7 region</w:t>
            </w:r>
            <w:r w:rsidRPr="002B10A8">
              <w:rPr>
                <w:rFonts w:ascii="Calibri" w:hAnsi="Calibri" w:cs="Calibri"/>
                <w:bCs/>
                <w:sz w:val="20"/>
              </w:rPr>
              <w:t>s</w:t>
            </w:r>
          </w:p>
          <w:p w14:paraId="25321A92" w14:textId="77777777" w:rsidR="00B03E38" w:rsidRDefault="00B03E38" w:rsidP="00B03E38">
            <w:pPr>
              <w:pStyle w:val="ListParagraph"/>
              <w:numPr>
                <w:ilvl w:val="0"/>
                <w:numId w:val="1"/>
              </w:numPr>
              <w:ind w:left="369"/>
              <w:jc w:val="both"/>
              <w:rPr>
                <w:rFonts w:ascii="Calibri" w:hAnsi="Calibri" w:cs="Calibri"/>
                <w:bCs/>
                <w:sz w:val="20"/>
              </w:rPr>
            </w:pPr>
            <w:r w:rsidRPr="00CB7A6E">
              <w:rPr>
                <w:rFonts w:ascii="Calibri" w:hAnsi="Calibri" w:cs="Calibri"/>
                <w:bCs/>
                <w:sz w:val="20"/>
                <w:highlight w:val="yellow"/>
              </w:rPr>
              <w:t xml:space="preserve">New AI – Local system </w:t>
            </w:r>
            <w:r>
              <w:rPr>
                <w:rFonts w:ascii="Calibri" w:hAnsi="Calibri" w:cs="Calibri"/>
                <w:bCs/>
                <w:sz w:val="20"/>
                <w:highlight w:val="yellow"/>
              </w:rPr>
              <w:t xml:space="preserve">and SOA </w:t>
            </w:r>
            <w:r w:rsidRPr="00CB7A6E">
              <w:rPr>
                <w:rFonts w:ascii="Calibri" w:hAnsi="Calibri" w:cs="Calibri"/>
                <w:bCs/>
                <w:sz w:val="20"/>
                <w:highlight w:val="yellow"/>
              </w:rPr>
              <w:t>vendors to provide co</w:t>
            </w:r>
            <w:r w:rsidRPr="00ED6B76">
              <w:rPr>
                <w:rFonts w:ascii="Calibri" w:hAnsi="Calibri" w:cs="Calibri"/>
                <w:bCs/>
                <w:sz w:val="20"/>
                <w:highlight w:val="yellow"/>
              </w:rPr>
              <w:t>mments and suggested resolutions to PIM 154</w:t>
            </w:r>
          </w:p>
          <w:p w14:paraId="0E32132E" w14:textId="31481FD4" w:rsidR="00B03E38" w:rsidRDefault="003B361E" w:rsidP="00B03E38">
            <w:pPr>
              <w:pStyle w:val="ListParagraph"/>
              <w:numPr>
                <w:ilvl w:val="0"/>
                <w:numId w:val="1"/>
              </w:numPr>
              <w:ind w:left="369"/>
              <w:jc w:val="both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It is difficult </w:t>
            </w:r>
            <w:r w:rsidR="00B03E38">
              <w:rPr>
                <w:rFonts w:ascii="Calibri" w:hAnsi="Calibri" w:cs="Calibri"/>
                <w:bCs/>
                <w:sz w:val="20"/>
              </w:rPr>
              <w:t xml:space="preserve">to assess </w:t>
            </w:r>
            <w:r>
              <w:rPr>
                <w:rFonts w:ascii="Calibri" w:hAnsi="Calibri" w:cs="Calibri"/>
                <w:bCs/>
                <w:sz w:val="20"/>
              </w:rPr>
              <w:t xml:space="preserve">the overall impact </w:t>
            </w:r>
            <w:r w:rsidR="00B03E38">
              <w:rPr>
                <w:rFonts w:ascii="Calibri" w:hAnsi="Calibri" w:cs="Calibri"/>
                <w:bCs/>
                <w:sz w:val="20"/>
              </w:rPr>
              <w:t>as it depends on how each local system is routing</w:t>
            </w:r>
          </w:p>
          <w:p w14:paraId="0F029500" w14:textId="77777777" w:rsidR="003B361E" w:rsidRDefault="00B03E38" w:rsidP="003B361E">
            <w:pPr>
              <w:pStyle w:val="ListParagraph"/>
              <w:numPr>
                <w:ilvl w:val="1"/>
                <w:numId w:val="1"/>
              </w:numPr>
              <w:ind w:left="730"/>
              <w:jc w:val="both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Some local systems support pseudo LRNs and some do not</w:t>
            </w:r>
            <w:r w:rsidR="003B361E" w:rsidRPr="002B10A8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14:paraId="321691C5" w14:textId="21B02559" w:rsidR="00B03E38" w:rsidRPr="003B361E" w:rsidRDefault="003B361E" w:rsidP="003B361E">
            <w:pPr>
              <w:pStyle w:val="ListParagraph"/>
              <w:numPr>
                <w:ilvl w:val="0"/>
                <w:numId w:val="1"/>
              </w:numPr>
              <w:ind w:left="369"/>
              <w:jc w:val="both"/>
              <w:rPr>
                <w:rFonts w:ascii="Calibri" w:hAnsi="Calibri" w:cs="Calibri"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>CMA to post to website</w:t>
            </w:r>
          </w:p>
        </w:tc>
        <w:tc>
          <w:tcPr>
            <w:tcW w:w="1620" w:type="dxa"/>
          </w:tcPr>
          <w:p w14:paraId="26E3060A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lastRenderedPageBreak/>
              <w:t>Accepted</w:t>
            </w:r>
          </w:p>
        </w:tc>
      </w:tr>
    </w:tbl>
    <w:p w14:paraId="2A78E9D3" w14:textId="77777777" w:rsidR="00B03E38" w:rsidRPr="00EA4D06" w:rsidRDefault="00B03E38" w:rsidP="00B03E38">
      <w:pPr>
        <w:pStyle w:val="Title"/>
        <w:ind w:firstLine="90"/>
        <w:rPr>
          <w:rFonts w:ascii="Calibri" w:hAnsi="Calibri" w:cs="Calibri"/>
          <w:bCs/>
          <w:sz w:val="32"/>
          <w:szCs w:val="32"/>
        </w:rPr>
      </w:pPr>
    </w:p>
    <w:p w14:paraId="7BAF1865" w14:textId="77777777" w:rsidR="00B03E38" w:rsidRPr="00BD42AA" w:rsidRDefault="00B03E38" w:rsidP="00B03E3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pacing w:val="-10"/>
          <w:kern w:val="28"/>
          <w:sz w:val="20"/>
          <w:szCs w:val="20"/>
        </w:rPr>
      </w:pPr>
      <w:r w:rsidRPr="00BD42AA">
        <w:rPr>
          <w:rFonts w:ascii="Calibri" w:hAnsi="Calibri" w:cs="Calibri"/>
          <w:sz w:val="20"/>
          <w:szCs w:val="20"/>
        </w:rPr>
        <w:t>Change Order Summary – Open COs</w:t>
      </w:r>
      <w:r w:rsidRPr="00BD42AA">
        <w:rPr>
          <w:rFonts w:ascii="Calibri" w:hAnsi="Calibri" w:cs="Calibri"/>
          <w:bCs/>
          <w:sz w:val="20"/>
          <w:szCs w:val="20"/>
        </w:rPr>
        <w:t xml:space="preserve"> </w:t>
      </w:r>
      <w:r w:rsidRPr="00BD42AA">
        <w:rPr>
          <w:rFonts w:ascii="Calibri" w:hAnsi="Calibri" w:cs="Calibri"/>
          <w:sz w:val="20"/>
          <w:szCs w:val="20"/>
        </w:rPr>
        <w:t xml:space="preserve">– </w:t>
      </w:r>
      <w:r w:rsidRPr="00BD42AA">
        <w:rPr>
          <w:rFonts w:ascii="Calibri" w:hAnsi="Calibri" w:cs="Calibri"/>
          <w:spacing w:val="-10"/>
          <w:kern w:val="28"/>
          <w:sz w:val="20"/>
          <w:szCs w:val="20"/>
        </w:rPr>
        <w:t xml:space="preserve">There were no updates to the Change Order Summary for this meeting 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B03E38" w:rsidRPr="00EA4D06" w14:paraId="67669A63" w14:textId="77777777" w:rsidTr="00D670A5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0747C53E" w14:textId="77777777" w:rsidR="00B03E38" w:rsidRPr="00FF1DBA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FF1DBA">
              <w:rPr>
                <w:rFonts w:ascii="Calibri" w:hAnsi="Calibri" w:cs="Calibri"/>
                <w:bCs/>
                <w:sz w:val="20"/>
              </w:rPr>
              <w:t>Change Order Review</w:t>
            </w:r>
          </w:p>
        </w:tc>
      </w:tr>
      <w:tr w:rsidR="00B03E38" w:rsidRPr="00EA4D06" w14:paraId="170A11C9" w14:textId="77777777" w:rsidTr="00D670A5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663DB103" w14:textId="77777777" w:rsidR="00B03E38" w:rsidRPr="00EA4D06" w:rsidRDefault="00B03E38" w:rsidP="00D670A5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CO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67BCB341" w14:textId="77777777" w:rsidR="00B03E38" w:rsidRPr="00EA4D06" w:rsidRDefault="00B03E38" w:rsidP="00D670A5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4D35A56C" w14:textId="77777777" w:rsidR="00B03E38" w:rsidRPr="00EA4D06" w:rsidRDefault="00B03E38" w:rsidP="00D670A5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1E17EDCA" w14:textId="77777777" w:rsidR="00B03E38" w:rsidRPr="00EA4D06" w:rsidRDefault="00B03E38" w:rsidP="00D670A5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Status</w:t>
            </w:r>
          </w:p>
        </w:tc>
      </w:tr>
      <w:tr w:rsidR="00B03E38" w:rsidRPr="00EA4D06" w14:paraId="4DEDCAC5" w14:textId="77777777" w:rsidTr="00D670A5">
        <w:tc>
          <w:tcPr>
            <w:tcW w:w="900" w:type="dxa"/>
          </w:tcPr>
          <w:p w14:paraId="785916B8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565</w:t>
            </w:r>
          </w:p>
        </w:tc>
        <w:tc>
          <w:tcPr>
            <w:tcW w:w="3330" w:type="dxa"/>
          </w:tcPr>
          <w:p w14:paraId="0CC994B9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Add SV Concurrence Indicator to SV Query Reply – 10X People/iconectiv</w:t>
            </w:r>
          </w:p>
        </w:tc>
        <w:tc>
          <w:tcPr>
            <w:tcW w:w="4320" w:type="dxa"/>
          </w:tcPr>
          <w:p w14:paraId="2C5B24B2" w14:textId="77777777" w:rsidR="00B03E38" w:rsidRPr="00781525" w:rsidRDefault="00B03E38" w:rsidP="00B03E38">
            <w:pPr>
              <w:pStyle w:val="Title"/>
              <w:numPr>
                <w:ilvl w:val="0"/>
                <w:numId w:val="1"/>
              </w:numPr>
              <w:spacing w:after="0"/>
              <w:ind w:left="340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This CO is being targeted for implementation in the upcoming R5.2.1</w:t>
            </w:r>
          </w:p>
        </w:tc>
        <w:tc>
          <w:tcPr>
            <w:tcW w:w="1620" w:type="dxa"/>
          </w:tcPr>
          <w:p w14:paraId="3F9B8FF0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Requested</w:t>
            </w:r>
          </w:p>
        </w:tc>
      </w:tr>
      <w:tr w:rsidR="00B03E38" w:rsidRPr="00EA4D06" w14:paraId="16251911" w14:textId="77777777" w:rsidTr="00D670A5">
        <w:tc>
          <w:tcPr>
            <w:tcW w:w="900" w:type="dxa"/>
          </w:tcPr>
          <w:p w14:paraId="3688C694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566</w:t>
            </w:r>
          </w:p>
        </w:tc>
        <w:tc>
          <w:tcPr>
            <w:tcW w:w="3330" w:type="dxa"/>
          </w:tcPr>
          <w:p w14:paraId="3836DB88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SPID Migration Pending-Like SV-NPB File Email - iconectiv</w:t>
            </w:r>
          </w:p>
        </w:tc>
        <w:tc>
          <w:tcPr>
            <w:tcW w:w="4320" w:type="dxa"/>
          </w:tcPr>
          <w:p w14:paraId="2B90B9FD" w14:textId="77777777" w:rsidR="00B03E38" w:rsidRPr="00781525" w:rsidRDefault="00B03E38" w:rsidP="00B03E38">
            <w:pPr>
              <w:pStyle w:val="Title"/>
              <w:numPr>
                <w:ilvl w:val="0"/>
                <w:numId w:val="1"/>
              </w:numPr>
              <w:spacing w:after="0"/>
              <w:ind w:left="340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This CO is being targeted for implementation in the upcoming R5.2.1</w:t>
            </w:r>
          </w:p>
        </w:tc>
        <w:tc>
          <w:tcPr>
            <w:tcW w:w="1620" w:type="dxa"/>
          </w:tcPr>
          <w:p w14:paraId="6A3BE09F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Requested</w:t>
            </w:r>
          </w:p>
        </w:tc>
      </w:tr>
    </w:tbl>
    <w:p w14:paraId="283F6AD5" w14:textId="77777777" w:rsidR="00B03E38" w:rsidRPr="00EA4D06" w:rsidRDefault="00B03E38" w:rsidP="00B03E3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B03E38" w:rsidRPr="00EA4D06" w14:paraId="1E10BEA2" w14:textId="77777777" w:rsidTr="00D670A5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23F23610" w14:textId="7E7CE518" w:rsidR="00B03E38" w:rsidRPr="002B10A8" w:rsidRDefault="00B03E38" w:rsidP="002B10A8">
            <w:pPr>
              <w:pStyle w:val="Title"/>
              <w:tabs>
                <w:tab w:val="left" w:pos="401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2B10A8">
              <w:rPr>
                <w:rFonts w:ascii="Calibri" w:hAnsi="Calibri" w:cs="Calibri"/>
                <w:b/>
                <w:sz w:val="20"/>
              </w:rPr>
              <w:t>Best Practice Review</w:t>
            </w:r>
          </w:p>
        </w:tc>
      </w:tr>
      <w:tr w:rsidR="00B03E38" w:rsidRPr="00EA4D06" w14:paraId="0EE19959" w14:textId="77777777" w:rsidTr="00D670A5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036E16E2" w14:textId="77777777" w:rsidR="00B03E38" w:rsidRPr="00EA4D06" w:rsidRDefault="00B03E38" w:rsidP="00D670A5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BP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3170A143" w14:textId="77777777" w:rsidR="00B03E38" w:rsidRPr="002B10A8" w:rsidRDefault="00B03E38" w:rsidP="00D670A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10A8">
              <w:rPr>
                <w:rFonts w:ascii="Calibri" w:hAnsi="Calibr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48E753EB" w14:textId="77777777" w:rsidR="00B03E38" w:rsidRPr="002B10A8" w:rsidRDefault="00B03E38" w:rsidP="00D670A5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2B10A8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6D8B2A45" w14:textId="77777777" w:rsidR="00B03E38" w:rsidRPr="002B10A8" w:rsidRDefault="00B03E38" w:rsidP="00D670A5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2B10A8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B03E38" w:rsidRPr="00EA4D06" w14:paraId="3DBEDFE1" w14:textId="77777777" w:rsidTr="00D670A5">
        <w:tc>
          <w:tcPr>
            <w:tcW w:w="900" w:type="dxa"/>
          </w:tcPr>
          <w:p w14:paraId="7FC49D9B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037</w:t>
            </w:r>
          </w:p>
        </w:tc>
        <w:tc>
          <w:tcPr>
            <w:tcW w:w="3330" w:type="dxa"/>
          </w:tcPr>
          <w:p w14:paraId="34DF3EF1" w14:textId="77777777" w:rsidR="00B03E38" w:rsidRPr="00781525" w:rsidRDefault="00B03E38" w:rsidP="00D670A5">
            <w:pPr>
              <w:ind w:left="-110" w:right="-110"/>
              <w:rPr>
                <w:rFonts w:ascii="Calibri" w:hAnsi="Calibri" w:cs="Calibri"/>
                <w:bCs/>
                <w:sz w:val="20"/>
                <w:szCs w:val="20"/>
              </w:rPr>
            </w:pPr>
            <w:r w:rsidRPr="00781525">
              <w:rPr>
                <w:rFonts w:ascii="Calibri" w:hAnsi="Calibri" w:cs="Calibri"/>
                <w:bCs/>
                <w:sz w:val="20"/>
                <w:szCs w:val="20"/>
              </w:rPr>
              <w:tab/>
              <w:t>Use of Evidence of Authorization</w:t>
            </w:r>
          </w:p>
        </w:tc>
        <w:tc>
          <w:tcPr>
            <w:tcW w:w="4320" w:type="dxa"/>
          </w:tcPr>
          <w:p w14:paraId="737E724C" w14:textId="77777777" w:rsidR="00B03E38" w:rsidRPr="002B10A8" w:rsidRDefault="00B03E38" w:rsidP="00B03E38">
            <w:pPr>
              <w:pStyle w:val="Title"/>
              <w:numPr>
                <w:ilvl w:val="0"/>
                <w:numId w:val="1"/>
              </w:numPr>
              <w:spacing w:after="0"/>
              <w:ind w:left="429"/>
              <w:contextualSpacing w:val="0"/>
              <w:rPr>
                <w:rFonts w:ascii="Calibri" w:hAnsi="Calibri" w:cs="Calibri"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>Michael D. (iconectiv) to work with Kathy T. (Charter) to draft wording for BP 037 to address use of electronic as a valid type of evidence</w:t>
            </w:r>
          </w:p>
          <w:p w14:paraId="54F3CA24" w14:textId="2EF29119" w:rsidR="00B03E38" w:rsidRPr="002B10A8" w:rsidRDefault="00B03E38" w:rsidP="00B03E38">
            <w:pPr>
              <w:pStyle w:val="Title"/>
              <w:numPr>
                <w:ilvl w:val="0"/>
                <w:numId w:val="1"/>
              </w:numPr>
              <w:spacing w:after="0"/>
              <w:ind w:left="429"/>
              <w:contextualSpacing w:val="0"/>
              <w:rPr>
                <w:rFonts w:ascii="Calibri" w:hAnsi="Calibri" w:cs="Calibri"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>Kathy T. (Charter) and Michael D. (iconectiv) reviewed BP 037</w:t>
            </w:r>
            <w:r w:rsidR="007D4943">
              <w:rPr>
                <w:rFonts w:ascii="Calibri" w:hAnsi="Calibri" w:cs="Calibri"/>
                <w:bCs/>
                <w:sz w:val="20"/>
              </w:rPr>
              <w:t xml:space="preserve"> wording</w:t>
            </w:r>
          </w:p>
          <w:p w14:paraId="279E9CB9" w14:textId="77777777" w:rsidR="00B03E38" w:rsidRPr="002B10A8" w:rsidRDefault="00B03E38" w:rsidP="00B03E38">
            <w:pPr>
              <w:pStyle w:val="Title"/>
              <w:numPr>
                <w:ilvl w:val="0"/>
                <w:numId w:val="1"/>
              </w:numPr>
              <w:spacing w:after="0"/>
              <w:ind w:left="429"/>
              <w:contextualSpacing w:val="0"/>
              <w:rPr>
                <w:rFonts w:ascii="Calibri" w:hAnsi="Calibri" w:cs="Calibri"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>The current wording in the Note at the bottom of the BP clarifies that the use of electronic is a valid type of evidence so no wording changes were required</w:t>
            </w:r>
          </w:p>
          <w:p w14:paraId="0AEF304A" w14:textId="2C4E82CD" w:rsidR="00B03E38" w:rsidRPr="002B10A8" w:rsidRDefault="00B03E38" w:rsidP="00B03E38">
            <w:pPr>
              <w:pStyle w:val="Title"/>
              <w:numPr>
                <w:ilvl w:val="0"/>
                <w:numId w:val="1"/>
              </w:numPr>
              <w:spacing w:after="0"/>
              <w:ind w:left="429"/>
              <w:contextualSpacing w:val="0"/>
              <w:rPr>
                <w:rFonts w:ascii="Calibri" w:hAnsi="Calibri" w:cs="Calibri"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 xml:space="preserve">Wording was added to the </w:t>
            </w:r>
            <w:r w:rsidR="008E1DE2">
              <w:rPr>
                <w:rFonts w:ascii="Calibri" w:hAnsi="Calibri" w:cs="Calibri"/>
                <w:bCs/>
                <w:sz w:val="20"/>
              </w:rPr>
              <w:t>v</w:t>
            </w:r>
            <w:r w:rsidRPr="002B10A8">
              <w:rPr>
                <w:rFonts w:ascii="Calibri" w:hAnsi="Calibri" w:cs="Calibri"/>
                <w:bCs/>
                <w:sz w:val="20"/>
              </w:rPr>
              <w:t>ersion history of the BP as well as an asterisk to call attention to the Note at the bottom of the BP</w:t>
            </w:r>
          </w:p>
          <w:p w14:paraId="151C3A83" w14:textId="28C15DF3" w:rsidR="00B03E38" w:rsidRPr="002B10A8" w:rsidRDefault="00B03E38" w:rsidP="00B03E38">
            <w:pPr>
              <w:pStyle w:val="Title"/>
              <w:numPr>
                <w:ilvl w:val="0"/>
                <w:numId w:val="1"/>
              </w:numPr>
              <w:spacing w:after="0"/>
              <w:ind w:left="429"/>
              <w:contextualSpacing w:val="0"/>
              <w:rPr>
                <w:rFonts w:ascii="Calibri" w:hAnsi="Calibri" w:cs="Calibri"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>Consensus was reached to accept the version wording and asterisk addition</w:t>
            </w:r>
            <w:r w:rsidR="007D4943">
              <w:rPr>
                <w:rFonts w:ascii="Calibri" w:hAnsi="Calibri" w:cs="Calibri"/>
                <w:bCs/>
                <w:sz w:val="20"/>
              </w:rPr>
              <w:t xml:space="preserve"> with no other modifications to the BP</w:t>
            </w:r>
          </w:p>
          <w:p w14:paraId="76FD6CD5" w14:textId="77777777" w:rsidR="00B03E38" w:rsidRPr="002B10A8" w:rsidRDefault="00B03E38" w:rsidP="00B03E38">
            <w:pPr>
              <w:pStyle w:val="Title"/>
              <w:numPr>
                <w:ilvl w:val="0"/>
                <w:numId w:val="1"/>
              </w:numPr>
              <w:spacing w:after="0"/>
              <w:ind w:left="429"/>
              <w:contextualSpacing w:val="0"/>
              <w:rPr>
                <w:rFonts w:ascii="Calibri" w:hAnsi="Calibri" w:cs="Calibri"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>CMA to accept all changes to BP and post to the website</w:t>
            </w:r>
          </w:p>
        </w:tc>
        <w:tc>
          <w:tcPr>
            <w:tcW w:w="1620" w:type="dxa"/>
          </w:tcPr>
          <w:p w14:paraId="73451EE3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Complete</w:t>
            </w:r>
          </w:p>
        </w:tc>
      </w:tr>
      <w:tr w:rsidR="00B03E38" w:rsidRPr="00EA4D06" w14:paraId="4FC7ADCF" w14:textId="77777777" w:rsidTr="00D670A5">
        <w:tc>
          <w:tcPr>
            <w:tcW w:w="900" w:type="dxa"/>
          </w:tcPr>
          <w:p w14:paraId="5E9F867D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073</w:t>
            </w:r>
          </w:p>
        </w:tc>
        <w:tc>
          <w:tcPr>
            <w:tcW w:w="3330" w:type="dxa"/>
          </w:tcPr>
          <w:p w14:paraId="28F75BC1" w14:textId="77777777" w:rsidR="00B03E38" w:rsidRPr="00781525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81525">
              <w:rPr>
                <w:rFonts w:ascii="Calibri" w:hAnsi="Calibri" w:cs="Calibri"/>
                <w:bCs/>
                <w:sz w:val="20"/>
                <w:szCs w:val="20"/>
              </w:rPr>
              <w:t>Unauthorized Port Flow – v4</w:t>
            </w:r>
          </w:p>
        </w:tc>
        <w:tc>
          <w:tcPr>
            <w:tcW w:w="4320" w:type="dxa"/>
          </w:tcPr>
          <w:p w14:paraId="3487B5A2" w14:textId="09BF4398" w:rsidR="00B03E38" w:rsidRPr="00781525" w:rsidRDefault="00B03E38" w:rsidP="00B03E38">
            <w:pPr>
              <w:pStyle w:val="Title"/>
              <w:numPr>
                <w:ilvl w:val="0"/>
                <w:numId w:val="3"/>
              </w:numPr>
              <w:spacing w:after="0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07102024-01 – Kasha F. (Comcast) and Rosemar</w:t>
            </w:r>
            <w:r w:rsidR="00087E8E">
              <w:rPr>
                <w:rFonts w:ascii="Calibri" w:hAnsi="Calibri" w:cs="Calibri"/>
                <w:bCs/>
                <w:sz w:val="20"/>
              </w:rPr>
              <w:t>y</w:t>
            </w:r>
            <w:r w:rsidRPr="00781525">
              <w:rPr>
                <w:rFonts w:ascii="Calibri" w:hAnsi="Calibri" w:cs="Calibri"/>
                <w:bCs/>
                <w:sz w:val="20"/>
              </w:rPr>
              <w:t xml:space="preserve"> L</w:t>
            </w:r>
            <w:r w:rsidR="00087E8E">
              <w:rPr>
                <w:rFonts w:ascii="Calibri" w:hAnsi="Calibri" w:cs="Calibri"/>
                <w:bCs/>
                <w:sz w:val="20"/>
              </w:rPr>
              <w:t>.</w:t>
            </w:r>
            <w:r w:rsidRPr="00781525">
              <w:rPr>
                <w:rFonts w:ascii="Calibri" w:hAnsi="Calibri" w:cs="Calibri"/>
                <w:bCs/>
                <w:sz w:val="20"/>
              </w:rPr>
              <w:t>. (T-Mobile) to draft wording updates to blend BPs 068 and 073</w:t>
            </w:r>
          </w:p>
          <w:p w14:paraId="554FDC5F" w14:textId="77777777" w:rsidR="00B03E38" w:rsidRDefault="00B03E38" w:rsidP="00B03E38">
            <w:pPr>
              <w:pStyle w:val="Title"/>
              <w:numPr>
                <w:ilvl w:val="0"/>
                <w:numId w:val="3"/>
              </w:numPr>
              <w:spacing w:after="0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07102024-02- SPs to discuss internally their plans/thoughts on handling after hours support on unauthorized ports</w:t>
            </w:r>
          </w:p>
          <w:p w14:paraId="73C5FE27" w14:textId="77777777" w:rsidR="00B03E38" w:rsidRPr="00781525" w:rsidRDefault="00B03E38" w:rsidP="00B03E38">
            <w:pPr>
              <w:pStyle w:val="Title"/>
              <w:numPr>
                <w:ilvl w:val="0"/>
                <w:numId w:val="3"/>
              </w:numPr>
              <w:spacing w:after="0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lastRenderedPageBreak/>
              <w:t>No update. This item will be carried over to the next meeting</w:t>
            </w:r>
          </w:p>
        </w:tc>
        <w:tc>
          <w:tcPr>
            <w:tcW w:w="1620" w:type="dxa"/>
          </w:tcPr>
          <w:p w14:paraId="0DB40F9D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lastRenderedPageBreak/>
              <w:t>Open</w:t>
            </w:r>
          </w:p>
        </w:tc>
      </w:tr>
    </w:tbl>
    <w:p w14:paraId="3A63CBBF" w14:textId="77777777" w:rsidR="00B03E38" w:rsidRPr="00EA4D06" w:rsidRDefault="00B03E38" w:rsidP="00B03E3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710"/>
        <w:gridCol w:w="2520"/>
        <w:gridCol w:w="4320"/>
        <w:gridCol w:w="1620"/>
      </w:tblGrid>
      <w:tr w:rsidR="00B03E38" w:rsidRPr="00EA4D06" w14:paraId="18CC37F9" w14:textId="77777777" w:rsidTr="00D670A5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218C274B" w14:textId="77777777" w:rsidR="00B03E38" w:rsidRPr="002B10A8" w:rsidRDefault="00B03E38" w:rsidP="002B10A8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2B10A8">
              <w:rPr>
                <w:rFonts w:ascii="Calibri" w:hAnsi="Calibri" w:cs="Calibri"/>
                <w:b/>
                <w:sz w:val="20"/>
              </w:rPr>
              <w:t>Action Item Review</w:t>
            </w:r>
          </w:p>
        </w:tc>
      </w:tr>
      <w:tr w:rsidR="00B03E38" w:rsidRPr="00EA4D06" w14:paraId="0290D6CA" w14:textId="77777777" w:rsidTr="00D670A5">
        <w:trPr>
          <w:tblHeader/>
        </w:trPr>
        <w:tc>
          <w:tcPr>
            <w:tcW w:w="1710" w:type="dxa"/>
            <w:shd w:val="clear" w:color="auto" w:fill="83CAEB" w:themeFill="accent1" w:themeFillTint="66"/>
          </w:tcPr>
          <w:p w14:paraId="6D8C091F" w14:textId="77777777" w:rsidR="00B03E38" w:rsidRPr="00EA4D06" w:rsidRDefault="00B03E38" w:rsidP="00D670A5">
            <w:pPr>
              <w:pStyle w:val="Title"/>
              <w:rPr>
                <w:rFonts w:ascii="Calibri" w:hAnsi="Calibri" w:cs="Calibri"/>
                <w:bCs/>
                <w:sz w:val="20"/>
              </w:rPr>
            </w:pPr>
            <w:r w:rsidRPr="00EA4D06">
              <w:rPr>
                <w:rFonts w:ascii="Calibri" w:hAnsi="Calibri" w:cs="Calibri"/>
                <w:bCs/>
                <w:sz w:val="20"/>
              </w:rPr>
              <w:t>AI #</w:t>
            </w:r>
          </w:p>
        </w:tc>
        <w:tc>
          <w:tcPr>
            <w:tcW w:w="2520" w:type="dxa"/>
            <w:shd w:val="clear" w:color="auto" w:fill="83CAEB" w:themeFill="accent1" w:themeFillTint="66"/>
          </w:tcPr>
          <w:p w14:paraId="3046D6E9" w14:textId="77777777" w:rsidR="00B03E38" w:rsidRPr="002B10A8" w:rsidRDefault="00B03E38" w:rsidP="00D670A5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2B10A8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28AF6ACF" w14:textId="77777777" w:rsidR="00B03E38" w:rsidRPr="002B10A8" w:rsidRDefault="00B03E38" w:rsidP="00D670A5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2B10A8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6CA14995" w14:textId="77777777" w:rsidR="00B03E38" w:rsidRPr="002B10A8" w:rsidRDefault="00B03E38" w:rsidP="00D670A5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2B10A8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B03E38" w:rsidRPr="00781525" w14:paraId="08A81FA7" w14:textId="77777777" w:rsidTr="00D670A5">
        <w:tc>
          <w:tcPr>
            <w:tcW w:w="1710" w:type="dxa"/>
          </w:tcPr>
          <w:p w14:paraId="098CA807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10112023-01</w:t>
            </w:r>
          </w:p>
        </w:tc>
        <w:tc>
          <w:tcPr>
            <w:tcW w:w="2520" w:type="dxa"/>
          </w:tcPr>
          <w:p w14:paraId="7416C133" w14:textId="77777777" w:rsidR="00B03E38" w:rsidRPr="00781525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81525">
              <w:rPr>
                <w:rFonts w:ascii="Calibri" w:hAnsi="Calibri" w:cs="Calibri"/>
                <w:bCs/>
                <w:sz w:val="20"/>
                <w:szCs w:val="20"/>
              </w:rPr>
              <w:t>GUST (chairperson - Cheryl F) to work with SPs and LNPA on recommendations for remaining open issues in GUST recommendations</w:t>
            </w:r>
          </w:p>
        </w:tc>
        <w:tc>
          <w:tcPr>
            <w:tcW w:w="4320" w:type="dxa"/>
          </w:tcPr>
          <w:p w14:paraId="27FEBC41" w14:textId="77777777" w:rsidR="00B03E38" w:rsidRPr="002B10A8" w:rsidRDefault="00B03E38" w:rsidP="00B03E38">
            <w:pPr>
              <w:pStyle w:val="Title"/>
              <w:numPr>
                <w:ilvl w:val="0"/>
                <w:numId w:val="7"/>
              </w:numPr>
              <w:spacing w:after="0"/>
              <w:contextualSpacing w:val="0"/>
              <w:rPr>
                <w:rFonts w:ascii="Calibri" w:hAnsi="Calibri" w:cs="Calibri"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>No Update</w:t>
            </w:r>
          </w:p>
          <w:p w14:paraId="7288C22E" w14:textId="77777777" w:rsidR="00B03E38" w:rsidRPr="002B10A8" w:rsidRDefault="00B03E38" w:rsidP="00B03E38">
            <w:pPr>
              <w:pStyle w:val="Title"/>
              <w:numPr>
                <w:ilvl w:val="0"/>
                <w:numId w:val="7"/>
              </w:numPr>
              <w:spacing w:after="0"/>
              <w:contextualSpacing w:val="0"/>
              <w:rPr>
                <w:rFonts w:ascii="Calibri" w:hAnsi="Calibri" w:cs="Calibri"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>This AI remains open</w:t>
            </w:r>
          </w:p>
        </w:tc>
        <w:tc>
          <w:tcPr>
            <w:tcW w:w="1620" w:type="dxa"/>
          </w:tcPr>
          <w:p w14:paraId="038E643D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Open</w:t>
            </w:r>
          </w:p>
        </w:tc>
      </w:tr>
      <w:tr w:rsidR="00B03E38" w:rsidRPr="00781525" w14:paraId="4A6D8252" w14:textId="77777777" w:rsidTr="00D670A5">
        <w:tc>
          <w:tcPr>
            <w:tcW w:w="1710" w:type="dxa"/>
          </w:tcPr>
          <w:p w14:paraId="34D2F294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05082024-01</w:t>
            </w:r>
          </w:p>
        </w:tc>
        <w:tc>
          <w:tcPr>
            <w:tcW w:w="2520" w:type="dxa"/>
          </w:tcPr>
          <w:p w14:paraId="1BB0F85A" w14:textId="77777777" w:rsidR="00B03E38" w:rsidRPr="00781525" w:rsidRDefault="00B03E38" w:rsidP="00D670A5">
            <w:pPr>
              <w:rPr>
                <w:rFonts w:ascii="Calibri" w:hAnsi="Calibri" w:cs="Calibri"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SPs to discuss internally the questions raised in LNPA presentation on porting in disconnected pool blocks and pool blocks in new CO Codes</w:t>
            </w:r>
          </w:p>
        </w:tc>
        <w:tc>
          <w:tcPr>
            <w:tcW w:w="4320" w:type="dxa"/>
          </w:tcPr>
          <w:p w14:paraId="6F344D57" w14:textId="77777777" w:rsidR="00B03E38" w:rsidRPr="002B10A8" w:rsidRDefault="00B03E38" w:rsidP="00B03E38">
            <w:pPr>
              <w:pStyle w:val="Title"/>
              <w:numPr>
                <w:ilvl w:val="0"/>
                <w:numId w:val="7"/>
              </w:numPr>
              <w:spacing w:after="0"/>
              <w:contextualSpacing w:val="0"/>
              <w:rPr>
                <w:rFonts w:ascii="Calibri" w:hAnsi="Calibri" w:cs="Calibri"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>No Update</w:t>
            </w:r>
          </w:p>
          <w:p w14:paraId="4487E8BC" w14:textId="77777777" w:rsidR="00B03E38" w:rsidRPr="002B10A8" w:rsidRDefault="00B03E38" w:rsidP="00B03E38">
            <w:pPr>
              <w:pStyle w:val="Title"/>
              <w:numPr>
                <w:ilvl w:val="0"/>
                <w:numId w:val="7"/>
              </w:numPr>
              <w:spacing w:after="0"/>
              <w:contextualSpacing w:val="0"/>
              <w:rPr>
                <w:rFonts w:ascii="Calibri" w:hAnsi="Calibri" w:cs="Calibri"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>This AI remains open</w:t>
            </w:r>
          </w:p>
        </w:tc>
        <w:tc>
          <w:tcPr>
            <w:tcW w:w="1620" w:type="dxa"/>
          </w:tcPr>
          <w:p w14:paraId="2CF83DF4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Open</w:t>
            </w:r>
          </w:p>
        </w:tc>
      </w:tr>
      <w:tr w:rsidR="00B03E38" w:rsidRPr="00781525" w14:paraId="6FF7E5C6" w14:textId="77777777" w:rsidTr="00D670A5">
        <w:tc>
          <w:tcPr>
            <w:tcW w:w="1710" w:type="dxa"/>
          </w:tcPr>
          <w:p w14:paraId="662D64F8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05082024-02</w:t>
            </w:r>
          </w:p>
        </w:tc>
        <w:tc>
          <w:tcPr>
            <w:tcW w:w="2520" w:type="dxa"/>
          </w:tcPr>
          <w:p w14:paraId="76876E7C" w14:textId="77777777" w:rsidR="00B03E38" w:rsidRPr="00781525" w:rsidRDefault="00B03E38" w:rsidP="00D670A5">
            <w:pPr>
              <w:rPr>
                <w:rFonts w:ascii="Calibri" w:hAnsi="Calibri" w:cs="Calibri"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Kathy T. (Charter) to propose updates to BP 037 to clarify the wording on “physical copy of the evidence of authorization”</w:t>
            </w:r>
          </w:p>
        </w:tc>
        <w:tc>
          <w:tcPr>
            <w:tcW w:w="4320" w:type="dxa"/>
          </w:tcPr>
          <w:p w14:paraId="44A67692" w14:textId="77777777" w:rsidR="00B03E38" w:rsidRDefault="00B03E38" w:rsidP="00B03E38">
            <w:pPr>
              <w:pStyle w:val="Title"/>
              <w:numPr>
                <w:ilvl w:val="0"/>
                <w:numId w:val="2"/>
              </w:numPr>
              <w:spacing w:after="0"/>
              <w:ind w:left="339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See update to BP 037 above</w:t>
            </w:r>
          </w:p>
          <w:p w14:paraId="411F8BB1" w14:textId="77777777" w:rsidR="00B03E38" w:rsidRPr="00781525" w:rsidRDefault="00B03E38" w:rsidP="00B03E38">
            <w:pPr>
              <w:pStyle w:val="Title"/>
              <w:numPr>
                <w:ilvl w:val="0"/>
                <w:numId w:val="2"/>
              </w:numPr>
              <w:spacing w:after="0"/>
              <w:ind w:left="339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This AI is now closed</w:t>
            </w:r>
          </w:p>
        </w:tc>
        <w:tc>
          <w:tcPr>
            <w:tcW w:w="1620" w:type="dxa"/>
          </w:tcPr>
          <w:p w14:paraId="723ED82B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Closed</w:t>
            </w:r>
          </w:p>
        </w:tc>
      </w:tr>
      <w:tr w:rsidR="00B03E38" w:rsidRPr="00781525" w14:paraId="0049DFCA" w14:textId="77777777" w:rsidTr="00D670A5">
        <w:tc>
          <w:tcPr>
            <w:tcW w:w="1710" w:type="dxa"/>
          </w:tcPr>
          <w:p w14:paraId="1436DC63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07102024-01</w:t>
            </w:r>
          </w:p>
        </w:tc>
        <w:tc>
          <w:tcPr>
            <w:tcW w:w="2520" w:type="dxa"/>
          </w:tcPr>
          <w:p w14:paraId="17B17465" w14:textId="5AF23F57" w:rsidR="00B03E38" w:rsidRPr="00781525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81525">
              <w:rPr>
                <w:rFonts w:ascii="Calibri" w:eastAsia="Times New Roman" w:hAnsi="Calibri" w:cs="Calibri"/>
                <w:bCs/>
                <w:sz w:val="20"/>
                <w:szCs w:val="20"/>
              </w:rPr>
              <w:t>Kasha F. (Comcast) and Rose</w:t>
            </w:r>
            <w:r w:rsidR="002B6A68">
              <w:rPr>
                <w:rFonts w:ascii="Calibri" w:eastAsia="Times New Roman" w:hAnsi="Calibri" w:cs="Calibri"/>
                <w:bCs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ary</w:t>
            </w:r>
            <w:r w:rsidRPr="00781525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L. (T-Mobile) to draft wording updates to blend BPs 068 and 073</w:t>
            </w:r>
          </w:p>
        </w:tc>
        <w:tc>
          <w:tcPr>
            <w:tcW w:w="4320" w:type="dxa"/>
          </w:tcPr>
          <w:p w14:paraId="0DCB0389" w14:textId="77777777" w:rsidR="00B03E38" w:rsidRDefault="00B03E38" w:rsidP="00B03E38">
            <w:pPr>
              <w:pStyle w:val="Title"/>
              <w:numPr>
                <w:ilvl w:val="0"/>
                <w:numId w:val="2"/>
              </w:numPr>
              <w:spacing w:after="0"/>
              <w:ind w:left="339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No update </w:t>
            </w:r>
          </w:p>
          <w:p w14:paraId="40536521" w14:textId="77777777" w:rsidR="00B03E38" w:rsidRPr="00A661DC" w:rsidRDefault="00B03E38" w:rsidP="00B03E38">
            <w:pPr>
              <w:pStyle w:val="Title"/>
              <w:numPr>
                <w:ilvl w:val="0"/>
                <w:numId w:val="2"/>
              </w:numPr>
              <w:spacing w:after="0"/>
              <w:ind w:left="339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 w:rsidRPr="00A661DC">
              <w:rPr>
                <w:rFonts w:ascii="Calibri" w:hAnsi="Calibri" w:cs="Calibri"/>
                <w:bCs/>
                <w:sz w:val="20"/>
              </w:rPr>
              <w:t>This AI remains open</w:t>
            </w:r>
          </w:p>
        </w:tc>
        <w:tc>
          <w:tcPr>
            <w:tcW w:w="1620" w:type="dxa"/>
          </w:tcPr>
          <w:p w14:paraId="5A5B6BF8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Open</w:t>
            </w:r>
          </w:p>
        </w:tc>
      </w:tr>
      <w:tr w:rsidR="00B03E38" w:rsidRPr="00781525" w14:paraId="5F93E932" w14:textId="77777777" w:rsidTr="00D670A5">
        <w:tc>
          <w:tcPr>
            <w:tcW w:w="1710" w:type="dxa"/>
          </w:tcPr>
          <w:p w14:paraId="2D1B01EE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07102024-02</w:t>
            </w:r>
          </w:p>
        </w:tc>
        <w:tc>
          <w:tcPr>
            <w:tcW w:w="2520" w:type="dxa"/>
          </w:tcPr>
          <w:p w14:paraId="0025CE20" w14:textId="77777777" w:rsidR="00B03E38" w:rsidRPr="00781525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81525">
              <w:rPr>
                <w:rFonts w:ascii="Calibri" w:eastAsia="Times New Roman" w:hAnsi="Calibri" w:cs="Calibri"/>
                <w:bCs/>
                <w:sz w:val="20"/>
                <w:szCs w:val="20"/>
              </w:rPr>
              <w:t>SPs to discuss internally their plans/thoughts on handling after hours support on unauthorized ports</w:t>
            </w:r>
          </w:p>
        </w:tc>
        <w:tc>
          <w:tcPr>
            <w:tcW w:w="4320" w:type="dxa"/>
          </w:tcPr>
          <w:p w14:paraId="45614823" w14:textId="77777777" w:rsidR="00B03E38" w:rsidRDefault="00B03E38" w:rsidP="00B03E38">
            <w:pPr>
              <w:pStyle w:val="Title"/>
              <w:numPr>
                <w:ilvl w:val="0"/>
                <w:numId w:val="2"/>
              </w:numPr>
              <w:spacing w:after="0"/>
              <w:ind w:left="339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No Update</w:t>
            </w:r>
          </w:p>
          <w:p w14:paraId="40194E7E" w14:textId="77777777" w:rsidR="00B03E38" w:rsidRPr="00781525" w:rsidRDefault="00B03E38" w:rsidP="00B03E38">
            <w:pPr>
              <w:pStyle w:val="Title"/>
              <w:numPr>
                <w:ilvl w:val="0"/>
                <w:numId w:val="2"/>
              </w:numPr>
              <w:spacing w:after="0"/>
              <w:ind w:left="339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This AI remains open</w:t>
            </w:r>
          </w:p>
        </w:tc>
        <w:tc>
          <w:tcPr>
            <w:tcW w:w="1620" w:type="dxa"/>
          </w:tcPr>
          <w:p w14:paraId="25E50F97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Open</w:t>
            </w:r>
          </w:p>
        </w:tc>
      </w:tr>
      <w:tr w:rsidR="00B03E38" w:rsidRPr="00781525" w14:paraId="797B350A" w14:textId="77777777" w:rsidTr="00D670A5">
        <w:tc>
          <w:tcPr>
            <w:tcW w:w="1710" w:type="dxa"/>
          </w:tcPr>
          <w:p w14:paraId="48661F18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07102024-03</w:t>
            </w:r>
          </w:p>
        </w:tc>
        <w:tc>
          <w:tcPr>
            <w:tcW w:w="2520" w:type="dxa"/>
          </w:tcPr>
          <w:p w14:paraId="10C3C632" w14:textId="77777777" w:rsidR="00B03E38" w:rsidRPr="00781525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81525">
              <w:rPr>
                <w:rFonts w:ascii="Calibri" w:hAnsi="Calibri" w:cs="Calibri"/>
                <w:bCs/>
                <w:sz w:val="20"/>
                <w:szCs w:val="20"/>
              </w:rPr>
              <w:t>LNPA to add occurrence of ported TNs with recurring numbers (NPA-NXX-5555) to existing vanity number counts for new CO codes</w:t>
            </w:r>
          </w:p>
        </w:tc>
        <w:tc>
          <w:tcPr>
            <w:tcW w:w="4320" w:type="dxa"/>
          </w:tcPr>
          <w:p w14:paraId="419723E9" w14:textId="77777777" w:rsidR="00B03E38" w:rsidRPr="002B10A8" w:rsidRDefault="00B03E38" w:rsidP="00B03E38">
            <w:pPr>
              <w:pStyle w:val="Title"/>
              <w:numPr>
                <w:ilvl w:val="0"/>
                <w:numId w:val="5"/>
              </w:numPr>
              <w:spacing w:after="0"/>
              <w:ind w:left="339"/>
              <w:contextualSpacing w:val="0"/>
              <w:rPr>
                <w:rFonts w:ascii="Calibri" w:hAnsi="Calibri" w:cs="Calibri"/>
                <w:sz w:val="20"/>
              </w:rPr>
            </w:pPr>
            <w:r w:rsidRPr="002B10A8">
              <w:rPr>
                <w:rFonts w:ascii="Calibri" w:hAnsi="Calibri" w:cs="Calibri"/>
                <w:sz w:val="20"/>
              </w:rPr>
              <w:t>LNPA (Michael D. - iconectiv) reviewed a PowerPoint with data on recurring number porting</w:t>
            </w:r>
          </w:p>
          <w:p w14:paraId="5E4980E0" w14:textId="03744E81" w:rsidR="00B03E38" w:rsidRPr="002B10A8" w:rsidRDefault="00B03E38" w:rsidP="00B03E38">
            <w:pPr>
              <w:pStyle w:val="Title"/>
              <w:numPr>
                <w:ilvl w:val="0"/>
                <w:numId w:val="5"/>
              </w:numPr>
              <w:spacing w:after="0"/>
              <w:ind w:left="339"/>
              <w:contextualSpacing w:val="0"/>
              <w:rPr>
                <w:rFonts w:ascii="Calibri" w:hAnsi="Calibri" w:cs="Calibri"/>
                <w:sz w:val="20"/>
              </w:rPr>
            </w:pPr>
            <w:bookmarkStart w:id="1" w:name="_Hlk174441737"/>
            <w:r w:rsidRPr="002B10A8">
              <w:rPr>
                <w:rFonts w:ascii="Calibri" w:hAnsi="Calibri" w:cs="Calibri"/>
                <w:sz w:val="20"/>
                <w:highlight w:val="yellow"/>
              </w:rPr>
              <w:t>New AI – LNPA to investigate recent ports from this list to determine if any of the</w:t>
            </w:r>
            <w:r w:rsidR="007D4943">
              <w:rPr>
                <w:rFonts w:ascii="Calibri" w:hAnsi="Calibri" w:cs="Calibri"/>
                <w:sz w:val="20"/>
                <w:highlight w:val="yellow"/>
              </w:rPr>
              <w:t xml:space="preserve">se ported </w:t>
            </w:r>
            <w:r w:rsidRPr="002B10A8">
              <w:rPr>
                <w:rFonts w:ascii="Calibri" w:hAnsi="Calibri" w:cs="Calibri"/>
                <w:sz w:val="20"/>
                <w:highlight w:val="yellow"/>
              </w:rPr>
              <w:t>vanity or recurring numbers are for sale</w:t>
            </w:r>
          </w:p>
          <w:bookmarkEnd w:id="1"/>
          <w:p w14:paraId="44E20C68" w14:textId="5719E3F0" w:rsidR="00B03E38" w:rsidRPr="002B10A8" w:rsidRDefault="007D4943" w:rsidP="00B03E38">
            <w:pPr>
              <w:pStyle w:val="Title"/>
              <w:numPr>
                <w:ilvl w:val="0"/>
                <w:numId w:val="5"/>
              </w:numPr>
              <w:spacing w:after="0"/>
              <w:ind w:left="339"/>
              <w:contextualSpacing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Nothing can be done with this</w:t>
            </w:r>
            <w:r w:rsidR="00B03E38" w:rsidRPr="002B10A8">
              <w:rPr>
                <w:rFonts w:ascii="Calibri" w:hAnsi="Calibri" w:cs="Calibri"/>
                <w:sz w:val="20"/>
              </w:rPr>
              <w:t xml:space="preserve"> information from an NPIF perspective</w:t>
            </w:r>
          </w:p>
          <w:p w14:paraId="1AC013A0" w14:textId="77777777" w:rsidR="00B03E38" w:rsidRPr="000512A4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0512A4">
              <w:rPr>
                <w:rFonts w:ascii="Calibri" w:hAnsi="Calibri" w:cs="Calibri"/>
                <w:b/>
                <w:bCs/>
                <w:sz w:val="20"/>
              </w:rPr>
              <w:object w:dxaOrig="1508" w:dyaOrig="984" w14:anchorId="5795587C">
                <v:shape id="_x0000_i1027" type="#_x0000_t75" style="width:75pt;height:49.3pt" o:ole="">
                  <v:imagedata r:id="rId8" o:title=""/>
                </v:shape>
                <o:OLEObject Type="Embed" ProgID="PowerPoint.Show.12" ShapeID="_x0000_i1027" DrawAspect="Icon" ObjectID="_1787571988" r:id="rId9"/>
              </w:object>
            </w:r>
          </w:p>
          <w:p w14:paraId="55BD9580" w14:textId="77777777" w:rsidR="00B03E38" w:rsidRDefault="00B03E38" w:rsidP="007D4943">
            <w:pPr>
              <w:pStyle w:val="Title"/>
              <w:numPr>
                <w:ilvl w:val="0"/>
                <w:numId w:val="5"/>
              </w:numPr>
              <w:spacing w:after="0"/>
              <w:ind w:left="343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CMA to send PowerPoint to NPIF distribution</w:t>
            </w:r>
          </w:p>
          <w:p w14:paraId="651D2810" w14:textId="77777777" w:rsidR="00B03E38" w:rsidRPr="00A661DC" w:rsidRDefault="00B03E38" w:rsidP="007D4943">
            <w:pPr>
              <w:pStyle w:val="Title"/>
              <w:numPr>
                <w:ilvl w:val="0"/>
                <w:numId w:val="5"/>
              </w:numPr>
              <w:spacing w:after="0"/>
              <w:ind w:left="343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 w:rsidRPr="00A661DC">
              <w:rPr>
                <w:rFonts w:ascii="Calibri" w:hAnsi="Calibri" w:cs="Calibri"/>
                <w:bCs/>
                <w:sz w:val="20"/>
              </w:rPr>
              <w:t>This AI is now closed</w:t>
            </w:r>
          </w:p>
        </w:tc>
        <w:tc>
          <w:tcPr>
            <w:tcW w:w="1620" w:type="dxa"/>
          </w:tcPr>
          <w:p w14:paraId="2A96E27A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Closed</w:t>
            </w:r>
          </w:p>
        </w:tc>
      </w:tr>
      <w:tr w:rsidR="00B03E38" w:rsidRPr="00781525" w14:paraId="724A7B62" w14:textId="77777777" w:rsidTr="00D670A5">
        <w:tc>
          <w:tcPr>
            <w:tcW w:w="1710" w:type="dxa"/>
          </w:tcPr>
          <w:p w14:paraId="06AEAEDB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t>07102024-04</w:t>
            </w:r>
          </w:p>
        </w:tc>
        <w:tc>
          <w:tcPr>
            <w:tcW w:w="2520" w:type="dxa"/>
          </w:tcPr>
          <w:p w14:paraId="7676C286" w14:textId="77777777" w:rsidR="00B03E38" w:rsidRPr="00781525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81525">
              <w:rPr>
                <w:rFonts w:ascii="Calibri" w:hAnsi="Calibri" w:cs="Calibri"/>
                <w:bCs/>
                <w:sz w:val="20"/>
                <w:szCs w:val="20"/>
              </w:rPr>
              <w:t>LNPA to report on quantity of ports for the top New Service Providers that received vanity numbers from new CO codes</w:t>
            </w:r>
          </w:p>
        </w:tc>
        <w:tc>
          <w:tcPr>
            <w:tcW w:w="4320" w:type="dxa"/>
          </w:tcPr>
          <w:p w14:paraId="45118D02" w14:textId="77777777" w:rsidR="00B03E38" w:rsidRDefault="00B03E38" w:rsidP="007D4943">
            <w:pPr>
              <w:pStyle w:val="Title"/>
              <w:numPr>
                <w:ilvl w:val="0"/>
                <w:numId w:val="6"/>
              </w:numPr>
              <w:spacing w:after="0"/>
              <w:ind w:left="343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Michael D. (iconectiv) reviewed a PowerPoint with data on recurring number porting.  (Same PowerPoint as AI 07102024-03)</w:t>
            </w:r>
          </w:p>
          <w:p w14:paraId="4D5B6928" w14:textId="77777777" w:rsidR="00B03E38" w:rsidRDefault="00B03E38" w:rsidP="007D4943">
            <w:pPr>
              <w:pStyle w:val="Title"/>
              <w:numPr>
                <w:ilvl w:val="0"/>
                <w:numId w:val="6"/>
              </w:numPr>
              <w:spacing w:after="0"/>
              <w:ind w:left="343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This AI is now closed</w:t>
            </w:r>
          </w:p>
          <w:p w14:paraId="46DDFECB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4D8494BA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Closed</w:t>
            </w:r>
          </w:p>
        </w:tc>
      </w:tr>
      <w:tr w:rsidR="00B03E38" w:rsidRPr="00781525" w14:paraId="6D85E888" w14:textId="77777777" w:rsidTr="00D670A5">
        <w:tc>
          <w:tcPr>
            <w:tcW w:w="1710" w:type="dxa"/>
          </w:tcPr>
          <w:p w14:paraId="2E6C5A4F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81525">
              <w:rPr>
                <w:rFonts w:ascii="Calibri" w:hAnsi="Calibri" w:cs="Calibri"/>
                <w:bCs/>
                <w:sz w:val="20"/>
              </w:rPr>
              <w:lastRenderedPageBreak/>
              <w:t>07102024-05</w:t>
            </w:r>
          </w:p>
        </w:tc>
        <w:tc>
          <w:tcPr>
            <w:tcW w:w="2520" w:type="dxa"/>
          </w:tcPr>
          <w:p w14:paraId="0DD15E58" w14:textId="77777777" w:rsidR="00B03E38" w:rsidRPr="00781525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81525">
              <w:rPr>
                <w:rFonts w:ascii="Calibri" w:hAnsi="Calibri" w:cs="Calibri"/>
                <w:bCs/>
                <w:sz w:val="20"/>
                <w:szCs w:val="20"/>
              </w:rPr>
              <w:t xml:space="preserve">LNPA to gather data on SVs that have an AltSPID populated but the associated pool block does not  </w:t>
            </w:r>
          </w:p>
        </w:tc>
        <w:tc>
          <w:tcPr>
            <w:tcW w:w="4320" w:type="dxa"/>
          </w:tcPr>
          <w:p w14:paraId="341D210C" w14:textId="77777777" w:rsidR="00B03E38" w:rsidRPr="002B10A8" w:rsidRDefault="00B03E38" w:rsidP="007D4943">
            <w:pPr>
              <w:pStyle w:val="Title"/>
              <w:numPr>
                <w:ilvl w:val="0"/>
                <w:numId w:val="6"/>
              </w:numPr>
              <w:spacing w:after="0"/>
              <w:ind w:left="343"/>
              <w:contextualSpacing w:val="0"/>
              <w:rPr>
                <w:rFonts w:ascii="Calibri" w:hAnsi="Calibri" w:cs="Calibri"/>
                <w:sz w:val="20"/>
              </w:rPr>
            </w:pPr>
            <w:r w:rsidRPr="002B10A8">
              <w:rPr>
                <w:rFonts w:ascii="Calibri" w:hAnsi="Calibri" w:cs="Calibri"/>
                <w:sz w:val="20"/>
              </w:rPr>
              <w:t>LNPA (Michael D. - iconectiv) reviewed a PowerPoint on Alt SPID population for 2 scenarios:</w:t>
            </w:r>
          </w:p>
          <w:p w14:paraId="5C89A359" w14:textId="77777777" w:rsidR="00B03E38" w:rsidRPr="00CE3414" w:rsidRDefault="00B03E38" w:rsidP="00B03E38">
            <w:pPr>
              <w:pStyle w:val="Title"/>
              <w:numPr>
                <w:ilvl w:val="0"/>
                <w:numId w:val="6"/>
              </w:numPr>
              <w:spacing w:after="0"/>
              <w:ind w:left="702"/>
              <w:contextualSpacing w:val="0"/>
              <w:rPr>
                <w:rFonts w:ascii="Calibri" w:hAnsi="Calibri" w:cs="Calibri"/>
                <w:sz w:val="20"/>
              </w:rPr>
            </w:pPr>
            <w:r w:rsidRPr="00CE3414">
              <w:rPr>
                <w:rFonts w:ascii="Calibri" w:hAnsi="Calibri" w:cs="Calibri"/>
                <w:sz w:val="20"/>
              </w:rPr>
              <w:t>SVs with Alt SPID populated but no Alt SPID populated on NPB</w:t>
            </w:r>
          </w:p>
          <w:p w14:paraId="274C6CF1" w14:textId="77777777" w:rsidR="00B03E38" w:rsidRPr="002B10A8" w:rsidRDefault="00B03E38" w:rsidP="00B03E38">
            <w:pPr>
              <w:pStyle w:val="Title"/>
              <w:numPr>
                <w:ilvl w:val="0"/>
                <w:numId w:val="6"/>
              </w:numPr>
              <w:spacing w:after="0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 w:rsidRPr="002B10A8">
              <w:rPr>
                <w:rFonts w:ascii="Calibri" w:eastAsiaTheme="minorHAnsi" w:hAnsi="Calibri" w:cs="Calibri"/>
                <w:sz w:val="20"/>
                <w:szCs w:val="22"/>
              </w:rPr>
              <w:t>SVs with an Alt SPID value, including null, that is different from the corresponding NPB Alt SPID value, including null</w:t>
            </w:r>
          </w:p>
          <w:p w14:paraId="39FC2AB3" w14:textId="77777777" w:rsidR="00B03E38" w:rsidRPr="002B10A8" w:rsidRDefault="00B03E38" w:rsidP="00B03E38">
            <w:pPr>
              <w:pStyle w:val="Title"/>
              <w:numPr>
                <w:ilvl w:val="0"/>
                <w:numId w:val="6"/>
              </w:numPr>
              <w:spacing w:after="0"/>
              <w:ind w:left="429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 w:rsidRPr="002B10A8">
              <w:rPr>
                <w:rFonts w:ascii="Calibri" w:hAnsi="Calibri" w:cs="Calibri"/>
                <w:bCs/>
                <w:sz w:val="20"/>
              </w:rPr>
              <w:t>CMA to send PowerPoint to NPIF distribution</w:t>
            </w:r>
          </w:p>
          <w:p w14:paraId="19FEE401" w14:textId="77777777" w:rsidR="00B03E38" w:rsidRPr="00E21208" w:rsidRDefault="00B03E38" w:rsidP="00D670A5">
            <w:pPr>
              <w:pStyle w:val="Title"/>
              <w:ind w:left="69"/>
              <w:rPr>
                <w:rFonts w:ascii="Calibri" w:hAnsi="Calibri" w:cs="Calibri"/>
                <w:b/>
                <w:bCs/>
                <w:sz w:val="20"/>
              </w:rPr>
            </w:pPr>
            <w:r w:rsidRPr="00E21208">
              <w:rPr>
                <w:rFonts w:ascii="Calibri" w:hAnsi="Calibri" w:cs="Calibri"/>
                <w:b/>
                <w:bCs/>
                <w:sz w:val="20"/>
              </w:rPr>
              <w:object w:dxaOrig="1508" w:dyaOrig="984" w14:anchorId="17706ED5">
                <v:shape id="_x0000_i1028" type="#_x0000_t75" style="width:75pt;height:49.3pt" o:ole="">
                  <v:imagedata r:id="rId10" o:title=""/>
                </v:shape>
                <o:OLEObject Type="Embed" ProgID="PowerPoint.Show.12" ShapeID="_x0000_i1028" DrawAspect="Icon" ObjectID="_1787571989" r:id="rId11"/>
              </w:object>
            </w:r>
            <w:r w:rsidRPr="00E21208">
              <w:rPr>
                <w:rFonts w:ascii="Calibri" w:hAnsi="Calibri" w:cs="Calibri"/>
                <w:bCs/>
                <w:sz w:val="20"/>
              </w:rPr>
              <w:t>c</w:t>
            </w:r>
          </w:p>
          <w:p w14:paraId="627DBF12" w14:textId="77777777" w:rsidR="00B03E38" w:rsidRPr="00A661DC" w:rsidRDefault="00B03E38" w:rsidP="00B03E38">
            <w:pPr>
              <w:pStyle w:val="Title"/>
              <w:numPr>
                <w:ilvl w:val="0"/>
                <w:numId w:val="6"/>
              </w:numPr>
              <w:spacing w:after="0"/>
              <w:ind w:left="429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  <w:r w:rsidRPr="00E21208">
              <w:rPr>
                <w:rFonts w:ascii="Calibri" w:hAnsi="Calibri" w:cs="Calibri"/>
                <w:bCs/>
                <w:sz w:val="20"/>
              </w:rPr>
              <w:t>This AI is</w:t>
            </w:r>
            <w:r w:rsidRPr="00A661DC">
              <w:rPr>
                <w:rFonts w:ascii="Calibri" w:hAnsi="Calibri" w:cs="Calibri"/>
                <w:bCs/>
                <w:sz w:val="20"/>
              </w:rPr>
              <w:t xml:space="preserve"> now Closed</w:t>
            </w:r>
          </w:p>
        </w:tc>
        <w:tc>
          <w:tcPr>
            <w:tcW w:w="1620" w:type="dxa"/>
          </w:tcPr>
          <w:p w14:paraId="0D180509" w14:textId="77777777" w:rsidR="00B03E38" w:rsidRPr="00781525" w:rsidRDefault="00B03E38" w:rsidP="00D670A5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Closed</w:t>
            </w:r>
          </w:p>
        </w:tc>
      </w:tr>
    </w:tbl>
    <w:p w14:paraId="4536A770" w14:textId="77777777" w:rsidR="00B03E38" w:rsidRPr="00EA4D06" w:rsidRDefault="00B03E38" w:rsidP="00B03E38">
      <w:pPr>
        <w:contextualSpacing/>
        <w:rPr>
          <w:rFonts w:ascii="Calibri" w:eastAsia="Calibri" w:hAnsi="Calibri" w:cs="Calibri"/>
          <w:sz w:val="24"/>
          <w:szCs w:val="24"/>
        </w:rPr>
      </w:pPr>
    </w:p>
    <w:p w14:paraId="5CC23B3E" w14:textId="77777777" w:rsidR="00B03E38" w:rsidRPr="00EA4D06" w:rsidRDefault="00B03E38" w:rsidP="00B03E38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EA4D06">
        <w:rPr>
          <w:rFonts w:ascii="Calibri" w:hAnsi="Calibri" w:cs="Calibri"/>
          <w:b/>
          <w:sz w:val="24"/>
          <w:szCs w:val="24"/>
        </w:rPr>
        <w:t>Unfinished/New Business</w:t>
      </w:r>
    </w:p>
    <w:p w14:paraId="2267A546" w14:textId="77777777" w:rsidR="00B03E38" w:rsidRDefault="00B03E38" w:rsidP="00B03E3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EA4D06">
        <w:rPr>
          <w:rFonts w:ascii="Calibri" w:hAnsi="Calibri" w:cs="Calibri"/>
          <w:bCs/>
          <w:sz w:val="20"/>
          <w:szCs w:val="20"/>
        </w:rPr>
        <w:t>Draft Report and Order and FNPRM - Protecting Consumers from SIM Swap and Port-out Fraud – Keeping this on the agenda to give providers time to review</w:t>
      </w:r>
    </w:p>
    <w:p w14:paraId="7D3C298B" w14:textId="143E3DC2" w:rsidR="00B03E38" w:rsidRDefault="00B03E38" w:rsidP="00B03E38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Verizon provided a Public Service </w:t>
      </w:r>
      <w:r w:rsidR="004431BF">
        <w:rPr>
          <w:rFonts w:ascii="Calibri" w:hAnsi="Calibri" w:cs="Calibri"/>
          <w:bCs/>
          <w:sz w:val="20"/>
          <w:szCs w:val="20"/>
        </w:rPr>
        <w:t>A</w:t>
      </w:r>
      <w:r>
        <w:rPr>
          <w:rFonts w:ascii="Calibri" w:hAnsi="Calibri" w:cs="Calibri"/>
          <w:bCs/>
          <w:sz w:val="20"/>
          <w:szCs w:val="20"/>
        </w:rPr>
        <w:t>nnouncement that they will be utilizing a Number Transfer Pin</w:t>
      </w:r>
      <w:r w:rsidR="00F4281C">
        <w:rPr>
          <w:rFonts w:ascii="Calibri" w:hAnsi="Calibri" w:cs="Calibri"/>
          <w:bCs/>
          <w:sz w:val="20"/>
          <w:szCs w:val="20"/>
        </w:rPr>
        <w:t xml:space="preserve"> for business lines in the future</w:t>
      </w:r>
    </w:p>
    <w:p w14:paraId="0812C5C4" w14:textId="77777777" w:rsidR="00B03E38" w:rsidRDefault="00B03E38" w:rsidP="00B03E3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Vendor Certification &amp; Regression Test Plans updates for CO 565 – Mathew T. (iconectiv) reviewed the Test Case document that was sent to the NPIF distribution</w:t>
      </w:r>
    </w:p>
    <w:p w14:paraId="5339A4E0" w14:textId="77777777" w:rsidR="00B03E38" w:rsidRPr="00315DAB" w:rsidRDefault="00B03E38" w:rsidP="00B03E38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This Test case w</w:t>
      </w:r>
      <w:r w:rsidRPr="00315DAB">
        <w:rPr>
          <w:rFonts w:ascii="Calibri" w:hAnsi="Calibri" w:cs="Calibri"/>
          <w:bCs/>
          <w:sz w:val="20"/>
          <w:szCs w:val="20"/>
        </w:rPr>
        <w:t>ould be added to Chapter 18 of Vendor Certification and Regression Test Plans</w:t>
      </w:r>
    </w:p>
    <w:bookmarkStart w:id="2" w:name="_MON_1785140495"/>
    <w:bookmarkEnd w:id="2"/>
    <w:p w14:paraId="657719D0" w14:textId="77777777" w:rsidR="00B03E38" w:rsidRPr="00315DAB" w:rsidRDefault="00B03E38" w:rsidP="00B03E38">
      <w:pPr>
        <w:ind w:left="1080"/>
        <w:rPr>
          <w:rFonts w:ascii="Calibri" w:hAnsi="Calibri" w:cs="Calibri"/>
          <w:bCs/>
          <w:sz w:val="20"/>
          <w:szCs w:val="20"/>
        </w:rPr>
      </w:pPr>
      <w:r w:rsidRPr="00315DAB">
        <w:object w:dxaOrig="1508" w:dyaOrig="984" w14:anchorId="4F58966D">
          <v:shape id="_x0000_i1029" type="#_x0000_t75" style="width:75pt;height:49.3pt" o:ole="">
            <v:imagedata r:id="rId12" o:title=""/>
          </v:shape>
          <o:OLEObject Type="Embed" ProgID="Word.Document.12" ShapeID="_x0000_i1029" DrawAspect="Icon" ObjectID="_1787571990" r:id="rId13">
            <o:FieldCodes>\s</o:FieldCodes>
          </o:OLEObject>
        </w:object>
      </w:r>
    </w:p>
    <w:p w14:paraId="252624BE" w14:textId="77777777" w:rsidR="00B03E38" w:rsidRPr="002B10A8" w:rsidRDefault="00B03E38" w:rsidP="00B03E38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0"/>
          <w:szCs w:val="20"/>
        </w:rPr>
      </w:pPr>
      <w:r w:rsidRPr="002B10A8">
        <w:rPr>
          <w:rFonts w:ascii="Calibri" w:hAnsi="Calibri" w:cs="Calibri"/>
          <w:bCs/>
          <w:sz w:val="20"/>
          <w:szCs w:val="20"/>
        </w:rPr>
        <w:t>CMA to update Vendor Certification and Regression Test Plans in track changes mode for review at an upcoming NPIF meeting</w:t>
      </w:r>
    </w:p>
    <w:p w14:paraId="435C613E" w14:textId="77777777" w:rsidR="00B03E38" w:rsidRPr="00EA4D06" w:rsidRDefault="00B03E38" w:rsidP="00B03E38">
      <w:pPr>
        <w:pStyle w:val="ListParagraph"/>
        <w:ind w:left="1440"/>
        <w:rPr>
          <w:rFonts w:ascii="Calibri" w:hAnsi="Calibri" w:cs="Calibri"/>
          <w:bCs/>
          <w:sz w:val="24"/>
          <w:szCs w:val="24"/>
        </w:rPr>
      </w:pPr>
    </w:p>
    <w:p w14:paraId="4A0B67A8" w14:textId="77777777" w:rsidR="00B03E38" w:rsidRPr="00EA4D06" w:rsidRDefault="00B03E38" w:rsidP="00B03E38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32"/>
        </w:rPr>
      </w:pPr>
      <w:r w:rsidRPr="00EA4D06">
        <w:rPr>
          <w:rFonts w:ascii="Calibri" w:hAnsi="Calibri" w:cs="Calibri"/>
          <w:b/>
          <w:sz w:val="24"/>
          <w:szCs w:val="32"/>
        </w:rPr>
        <w:t xml:space="preserve">2024 Meeting Schedule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B03E38" w:rsidRPr="00EA4D06" w14:paraId="66B1E19E" w14:textId="77777777" w:rsidTr="00D670A5">
        <w:tc>
          <w:tcPr>
            <w:tcW w:w="3116" w:type="dxa"/>
            <w:shd w:val="clear" w:color="auto" w:fill="83CAEB" w:themeFill="accent1" w:themeFillTint="66"/>
          </w:tcPr>
          <w:p w14:paraId="32947398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3117" w:type="dxa"/>
            <w:shd w:val="clear" w:color="auto" w:fill="83CAEB" w:themeFill="accent1" w:themeFillTint="66"/>
          </w:tcPr>
          <w:p w14:paraId="042366B7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842" w:type="dxa"/>
            <w:shd w:val="clear" w:color="auto" w:fill="83CAEB" w:themeFill="accent1" w:themeFillTint="66"/>
          </w:tcPr>
          <w:p w14:paraId="5D281B73" w14:textId="77777777" w:rsidR="00B03E38" w:rsidRPr="00EA4D06" w:rsidRDefault="00B03E38" w:rsidP="00D670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Location</w:t>
            </w:r>
          </w:p>
        </w:tc>
      </w:tr>
      <w:tr w:rsidR="00B03E38" w:rsidRPr="00EA4D06" w14:paraId="3429DEEE" w14:textId="77777777" w:rsidTr="00D670A5">
        <w:tc>
          <w:tcPr>
            <w:tcW w:w="3116" w:type="dxa"/>
          </w:tcPr>
          <w:p w14:paraId="5129583E" w14:textId="77777777" w:rsidR="00B03E38" w:rsidRPr="00EA4D06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September 11, 2024</w:t>
            </w:r>
          </w:p>
        </w:tc>
        <w:tc>
          <w:tcPr>
            <w:tcW w:w="3117" w:type="dxa"/>
          </w:tcPr>
          <w:p w14:paraId="3A2B274D" w14:textId="77777777" w:rsidR="00B03E38" w:rsidRPr="00EA4D06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11-1 AM ET</w:t>
            </w:r>
          </w:p>
        </w:tc>
        <w:tc>
          <w:tcPr>
            <w:tcW w:w="3842" w:type="dxa"/>
          </w:tcPr>
          <w:p w14:paraId="248F9A94" w14:textId="77777777" w:rsidR="00B03E38" w:rsidRPr="00EA4D06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  <w:tr w:rsidR="00B03E38" w:rsidRPr="00EA4D06" w14:paraId="6B3AF3E0" w14:textId="77777777" w:rsidTr="00D670A5">
        <w:tc>
          <w:tcPr>
            <w:tcW w:w="3116" w:type="dxa"/>
          </w:tcPr>
          <w:p w14:paraId="455A2F05" w14:textId="77777777" w:rsidR="00B03E38" w:rsidRPr="00EA4D06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October 2, 2024</w:t>
            </w:r>
          </w:p>
        </w:tc>
        <w:tc>
          <w:tcPr>
            <w:tcW w:w="3117" w:type="dxa"/>
          </w:tcPr>
          <w:p w14:paraId="2FCAB580" w14:textId="77777777" w:rsidR="00B03E38" w:rsidRPr="00EA4D06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11-1 AM ET</w:t>
            </w:r>
          </w:p>
        </w:tc>
        <w:tc>
          <w:tcPr>
            <w:tcW w:w="3842" w:type="dxa"/>
          </w:tcPr>
          <w:p w14:paraId="0EA1AB72" w14:textId="77777777" w:rsidR="00B03E38" w:rsidRPr="00EA4D06" w:rsidRDefault="00B03E38" w:rsidP="00D670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</w:tbl>
    <w:p w14:paraId="4FAAD2CF" w14:textId="77777777" w:rsidR="00B03E38" w:rsidRPr="00EA4D06" w:rsidRDefault="00B03E38" w:rsidP="00B03E38">
      <w:pPr>
        <w:rPr>
          <w:rFonts w:ascii="Calibri" w:hAnsi="Calibri" w:cs="Calibri"/>
        </w:rPr>
      </w:pPr>
    </w:p>
    <w:p w14:paraId="6766218B" w14:textId="77777777" w:rsidR="00B03E38" w:rsidRPr="00EA4D06" w:rsidRDefault="00B03E38" w:rsidP="00B03E38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32"/>
        </w:rPr>
      </w:pPr>
      <w:r>
        <w:rPr>
          <w:rFonts w:ascii="Calibri" w:hAnsi="Calibri" w:cs="Calibri"/>
          <w:b/>
          <w:sz w:val="24"/>
          <w:szCs w:val="32"/>
        </w:rPr>
        <w:t>Attendees – 44 Participants</w:t>
      </w:r>
      <w:r w:rsidRPr="00EA4D06">
        <w:rPr>
          <w:rFonts w:ascii="Calibri" w:hAnsi="Calibri" w:cs="Calibri"/>
          <w:b/>
          <w:sz w:val="24"/>
          <w:szCs w:val="32"/>
        </w:rPr>
        <w:t xml:space="preserve"> </w:t>
      </w:r>
    </w:p>
    <w:tbl>
      <w:tblPr>
        <w:tblpPr w:leftFromText="180" w:rightFromText="180" w:vertAnchor="text" w:tblpY="1"/>
        <w:tblOverlap w:val="never"/>
        <w:tblW w:w="5925" w:type="dxa"/>
        <w:tblLook w:val="04A0" w:firstRow="1" w:lastRow="0" w:firstColumn="1" w:lastColumn="0" w:noHBand="0" w:noVBand="1"/>
      </w:tblPr>
      <w:tblGrid>
        <w:gridCol w:w="3135"/>
        <w:gridCol w:w="2790"/>
      </w:tblGrid>
      <w:tr w:rsidR="00B03E38" w:rsidRPr="00FD31D1" w14:paraId="2CAA8485" w14:textId="77777777" w:rsidTr="00D670A5">
        <w:trPr>
          <w:trHeight w:val="310"/>
          <w:tblHeader/>
        </w:trPr>
        <w:tc>
          <w:tcPr>
            <w:tcW w:w="313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000000" w:fill="000080"/>
            <w:vAlign w:val="center"/>
            <w:hideMark/>
          </w:tcPr>
          <w:p w14:paraId="5421C33D" w14:textId="77777777" w:rsidR="00B03E38" w:rsidRPr="00074AAD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74AA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790" w:type="dxa"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000000" w:fill="000080"/>
            <w:vAlign w:val="center"/>
            <w:hideMark/>
          </w:tcPr>
          <w:p w14:paraId="2E4BCAA9" w14:textId="77777777" w:rsidR="00B03E38" w:rsidRPr="00074AAD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74AA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Company</w:t>
            </w:r>
          </w:p>
        </w:tc>
      </w:tr>
      <w:tr w:rsidR="00B03E38" w:rsidRPr="0009746A" w14:paraId="7C3C1AC6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4AAB4F7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Nakamura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3ED289E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10X People</w:t>
            </w:r>
          </w:p>
        </w:tc>
      </w:tr>
      <w:tr w:rsidR="00B03E38" w:rsidRPr="0009746A" w14:paraId="16706F05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8DC14EB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Tonja Pierce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E1B3FEF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Allstream</w:t>
            </w:r>
          </w:p>
        </w:tc>
      </w:tr>
      <w:tr w:rsidR="00B03E38" w:rsidRPr="0009746A" w14:paraId="2B3EACFE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25FD952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Schock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2211C11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Allstream</w:t>
            </w:r>
          </w:p>
        </w:tc>
      </w:tr>
      <w:tr w:rsidR="00B03E38" w:rsidRPr="0009746A" w14:paraId="3D15FEAD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E7F4692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 Espy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3C30EA8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ATLC (Numhub)</w:t>
            </w:r>
          </w:p>
        </w:tc>
      </w:tr>
      <w:tr w:rsidR="00B03E38" w:rsidRPr="0009746A" w14:paraId="5CD4C23D" w14:textId="77777777" w:rsidTr="00D670A5">
        <w:trPr>
          <w:trHeight w:val="303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FD7FCCE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Sara Hutchinson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C0A2906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ATLC (Numhub)</w:t>
            </w:r>
          </w:p>
        </w:tc>
      </w:tr>
      <w:tr w:rsidR="00B03E38" w:rsidRPr="0009746A" w14:paraId="7AE7F5AA" w14:textId="77777777" w:rsidTr="00D670A5">
        <w:trPr>
          <w:trHeight w:val="303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92C9020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Allen Nimmo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DA20007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ATLC (Numhub)</w:t>
            </w:r>
          </w:p>
        </w:tc>
      </w:tr>
      <w:tr w:rsidR="00B03E38" w:rsidRPr="0009746A" w14:paraId="72907EA3" w14:textId="77777777" w:rsidTr="00D670A5">
        <w:trPr>
          <w:trHeight w:val="303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FC874F8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Arnold Monell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83C0B76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Alta Fiber</w:t>
            </w:r>
          </w:p>
        </w:tc>
      </w:tr>
      <w:tr w:rsidR="00B03E38" w:rsidRPr="0009746A" w14:paraId="44254179" w14:textId="77777777" w:rsidTr="00D670A5">
        <w:trPr>
          <w:trHeight w:val="303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C572C13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Dillon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742AE4B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B03E38" w:rsidRPr="0009746A" w14:paraId="610E5D99" w14:textId="77777777" w:rsidTr="00D670A5">
        <w:trPr>
          <w:trHeight w:val="303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44D8AB5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East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DCF3419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B03E38" w:rsidRPr="0009746A" w14:paraId="30F71788" w14:textId="77777777" w:rsidTr="00D670A5">
        <w:trPr>
          <w:trHeight w:val="303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F29B176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Patton (Co-chair)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D89F7DF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B03E38" w:rsidRPr="0009746A" w14:paraId="5C09F4D2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24E7714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Adil Vasania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73AF65B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B03E38" w:rsidRPr="0009746A" w14:paraId="7E18983F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5020E7C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Ian Fernandez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AF257A1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Brightspeed</w:t>
            </w:r>
          </w:p>
        </w:tc>
      </w:tr>
      <w:tr w:rsidR="00B03E38" w:rsidRPr="0009746A" w14:paraId="0630DE06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095A426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Sheila Seidl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7C6F1A3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Cellcom</w:t>
            </w:r>
          </w:p>
        </w:tc>
      </w:tr>
      <w:tr w:rsidR="00B03E38" w:rsidRPr="0009746A" w14:paraId="40FBFAD7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BC23D8F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Tami Zwicky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5C06554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Cellcom</w:t>
            </w:r>
          </w:p>
        </w:tc>
      </w:tr>
      <w:tr w:rsidR="00B03E38" w:rsidRPr="0009746A" w14:paraId="37F0F228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DD2F435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 Nolan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0EF5086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Charter</w:t>
            </w:r>
          </w:p>
        </w:tc>
      </w:tr>
      <w:tr w:rsidR="00B03E38" w:rsidRPr="0009746A" w14:paraId="18296ABE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3186BB54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Kathy Troughton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18CD5458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Charter</w:t>
            </w:r>
          </w:p>
        </w:tc>
      </w:tr>
      <w:tr w:rsidR="00B03E38" w:rsidRPr="0009746A" w14:paraId="53E119BF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7F0CC66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Medina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BDE2292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B03E38" w:rsidRPr="0009746A" w14:paraId="69B5C952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DA5A500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 Bowlin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56B7F16D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B03E38" w:rsidRPr="0009746A" w14:paraId="29874CBD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DF9501D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Kathy Rogers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60835601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B03E38" w:rsidRPr="0009746A" w14:paraId="031AD9F5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4697C979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Yost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4819067E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B03E38" w:rsidRPr="0009746A" w14:paraId="2350104B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82838BD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 Pressler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A156EFE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Frontier</w:t>
            </w:r>
          </w:p>
        </w:tc>
      </w:tr>
      <w:tr w:rsidR="00B03E38" w:rsidRPr="0009746A" w14:paraId="26F48A54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18DD733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Berkowitz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985A415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B03E38" w:rsidRPr="0009746A" w14:paraId="45B3A435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E6B840C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Douglass Babcock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DB5776E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B03E38" w:rsidRPr="0009746A" w14:paraId="46FB5C1F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17AF58A7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Doherty (CMA)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3CE8B883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B03E38" w:rsidRPr="0009746A" w14:paraId="7C822444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3409E5A2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Knight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ABB3F8E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B03E38" w:rsidRPr="0009746A" w14:paraId="13B77FC7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27B6444F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 Koch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16674B11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B03E38" w:rsidRPr="0009746A" w14:paraId="7CD2DFE7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1ADBC67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Malyar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1217D5C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B03E38" w:rsidRPr="0009746A" w14:paraId="7C74987F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40E49B92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Cathy McMahon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1D310409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B03E38" w:rsidRPr="0009746A" w14:paraId="6FF8277A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00B2811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Mathew Timmermann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70CC540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B03E38" w:rsidRPr="0009746A" w14:paraId="025F731B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E0F5D7F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Himabindu Yarlagadda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E829373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B03E38" w:rsidRPr="0009746A" w14:paraId="76C467EF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2CF7B7F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Mathew Bridenbaugh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CC182D2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Lumen</w:t>
            </w:r>
          </w:p>
        </w:tc>
      </w:tr>
      <w:tr w:rsidR="00B03E38" w:rsidRPr="0009746A" w14:paraId="07B84E2F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67D43E1F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 Linse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546026AB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Lumen</w:t>
            </w:r>
          </w:p>
        </w:tc>
      </w:tr>
      <w:tr w:rsidR="00B03E38" w:rsidRPr="0009746A" w14:paraId="5E7ED43C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49C0F4E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Bridget Alexande White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203FFF3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JSI</w:t>
            </w:r>
          </w:p>
        </w:tc>
      </w:tr>
      <w:tr w:rsidR="00B03E38" w:rsidRPr="0009746A" w14:paraId="79D23C16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42A0DC29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Fullerton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302AECFC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Sinch</w:t>
            </w:r>
          </w:p>
        </w:tc>
      </w:tr>
      <w:tr w:rsidR="00B03E38" w:rsidRPr="0009746A" w14:paraId="542BB31F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1580F35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Krubsack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A4C176D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Solarus</w:t>
            </w:r>
          </w:p>
        </w:tc>
      </w:tr>
      <w:tr w:rsidR="00B03E38" w:rsidRPr="0009746A" w14:paraId="34E961AC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B839649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Florence Weber (NANPA)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229492E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Somos</w:t>
            </w:r>
          </w:p>
        </w:tc>
      </w:tr>
      <w:tr w:rsidR="00B03E38" w:rsidRPr="0009746A" w14:paraId="00D510C3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854D5FA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Bob Bruce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9A1D77F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Syniverse</w:t>
            </w:r>
          </w:p>
        </w:tc>
      </w:tr>
      <w:tr w:rsidR="00B03E38" w:rsidRPr="0009746A" w14:paraId="60BA3D83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8F0B25B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Nejedlo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4F6F24D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TDS</w:t>
            </w:r>
          </w:p>
        </w:tc>
      </w:tr>
      <w:tr w:rsidR="00B03E38" w:rsidRPr="0009746A" w14:paraId="1BB68C80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3D6C25C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Febles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0EB3E01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B03E38" w:rsidRPr="0009746A" w14:paraId="1B7CCBA7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538BFB3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Shaunna Forshee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D1F0E85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B03E38" w:rsidRPr="0009746A" w14:paraId="3983704C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D9D7626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Niraj Prakesh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CCA5749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B03E38" w:rsidRPr="0009746A" w14:paraId="5947D401" w14:textId="77777777" w:rsidTr="00D670A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277F937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Riepenkroger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FA07225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B03E38" w:rsidRPr="0009746A" w14:paraId="75154136" w14:textId="77777777" w:rsidTr="00D670A5">
        <w:trPr>
          <w:trHeight w:val="303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39CFDAF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Dana Crandall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8BCFBD1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Verizon</w:t>
            </w:r>
          </w:p>
        </w:tc>
      </w:tr>
      <w:tr w:rsidR="00B03E38" w:rsidRPr="003E4347" w14:paraId="69692C27" w14:textId="77777777" w:rsidTr="00D670A5">
        <w:trPr>
          <w:trHeight w:val="303"/>
        </w:trPr>
        <w:tc>
          <w:tcPr>
            <w:tcW w:w="313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B73AEFA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Tucker (Co-chair)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00C7820" w14:textId="77777777" w:rsidR="00B03E38" w:rsidRPr="0009746A" w:rsidRDefault="00B03E38" w:rsidP="00D6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4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Verizon </w:t>
            </w:r>
          </w:p>
        </w:tc>
      </w:tr>
    </w:tbl>
    <w:p w14:paraId="6512BBED" w14:textId="77777777" w:rsidR="003D2238" w:rsidRDefault="003D2238"/>
    <w:sectPr w:rsidR="003D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0BB"/>
    <w:multiLevelType w:val="hybridMultilevel"/>
    <w:tmpl w:val="DDC4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0A5"/>
    <w:multiLevelType w:val="hybridMultilevel"/>
    <w:tmpl w:val="5A4E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5AEB"/>
    <w:multiLevelType w:val="hybridMultilevel"/>
    <w:tmpl w:val="6DF2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49D7"/>
    <w:multiLevelType w:val="hybridMultilevel"/>
    <w:tmpl w:val="FF8C4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D3870"/>
    <w:multiLevelType w:val="hybridMultilevel"/>
    <w:tmpl w:val="9B6273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134530"/>
    <w:multiLevelType w:val="hybridMultilevel"/>
    <w:tmpl w:val="FB60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57F80"/>
    <w:multiLevelType w:val="hybridMultilevel"/>
    <w:tmpl w:val="529CA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396970">
    <w:abstractNumId w:val="0"/>
  </w:num>
  <w:num w:numId="2" w16cid:durableId="916134240">
    <w:abstractNumId w:val="5"/>
  </w:num>
  <w:num w:numId="3" w16cid:durableId="1193303656">
    <w:abstractNumId w:val="6"/>
  </w:num>
  <w:num w:numId="4" w16cid:durableId="1791388372">
    <w:abstractNumId w:val="4"/>
  </w:num>
  <w:num w:numId="5" w16cid:durableId="1727487175">
    <w:abstractNumId w:val="1"/>
  </w:num>
  <w:num w:numId="6" w16cid:durableId="1520504179">
    <w:abstractNumId w:val="2"/>
  </w:num>
  <w:num w:numId="7" w16cid:durableId="839542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8"/>
    <w:rsid w:val="00087E8E"/>
    <w:rsid w:val="002B10A8"/>
    <w:rsid w:val="002B6A68"/>
    <w:rsid w:val="0030396C"/>
    <w:rsid w:val="00371C65"/>
    <w:rsid w:val="003B361E"/>
    <w:rsid w:val="003D2238"/>
    <w:rsid w:val="004431BF"/>
    <w:rsid w:val="004574A7"/>
    <w:rsid w:val="004C6C1D"/>
    <w:rsid w:val="00671850"/>
    <w:rsid w:val="006C7B37"/>
    <w:rsid w:val="007D4943"/>
    <w:rsid w:val="0089334F"/>
    <w:rsid w:val="008E1DE2"/>
    <w:rsid w:val="0096291A"/>
    <w:rsid w:val="00991337"/>
    <w:rsid w:val="00B03E38"/>
    <w:rsid w:val="00B559EB"/>
    <w:rsid w:val="00F4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274D503"/>
  <w15:chartTrackingRefBased/>
  <w15:docId w15:val="{5C8DE547-052F-465A-B498-711420B0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B03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B0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E3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03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E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3E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03E38"/>
  </w:style>
  <w:style w:type="character" w:styleId="Hyperlink">
    <w:name w:val="Hyperlink"/>
    <w:basedOn w:val="DefaultParagraphFont"/>
    <w:uiPriority w:val="99"/>
    <w:unhideWhenUsed/>
    <w:rsid w:val="006C7B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Presentation1.pptx"/><Relationship Id="rId5" Type="http://schemas.openxmlformats.org/officeDocument/2006/relationships/hyperlink" Target="https://workinggroup.numberportability.com/sites/workinggroup/files/2024-08/07-10-24%20NPIF%20Meeting%20Minutes%20-%20Final.docx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Presentation.ppt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Michael</dc:creator>
  <cp:keywords/>
  <dc:description/>
  <cp:lastModifiedBy>Doherty, Michael</cp:lastModifiedBy>
  <cp:revision>14</cp:revision>
  <dcterms:created xsi:type="dcterms:W3CDTF">2024-08-15T15:18:00Z</dcterms:created>
  <dcterms:modified xsi:type="dcterms:W3CDTF">2024-09-11T18:39:00Z</dcterms:modified>
</cp:coreProperties>
</file>