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75F85" w14:textId="388FEB23" w:rsidR="002A1D51" w:rsidRPr="002A1D51" w:rsidRDefault="002A1D51" w:rsidP="002A1D51">
      <w:pPr>
        <w:spacing w:before="360" w:after="60" w:line="240" w:lineRule="auto"/>
        <w:outlineLvl w:val="1"/>
        <w:rPr>
          <w:rFonts w:ascii="avenir" w:eastAsia="Times New Roman" w:hAnsi="avenir" w:cs="Times New Roman"/>
          <w:b/>
          <w:bCs/>
          <w:color w:val="333333"/>
          <w:sz w:val="36"/>
          <w:szCs w:val="36"/>
        </w:rPr>
      </w:pPr>
      <w:r w:rsidRPr="002A1D51">
        <w:rPr>
          <w:rFonts w:ascii="avenir" w:eastAsia="Times New Roman" w:hAnsi="avenir" w:cs="Times New Roman"/>
          <w:b/>
          <w:bCs/>
          <w:color w:val="333333"/>
          <w:sz w:val="36"/>
          <w:szCs w:val="36"/>
        </w:rPr>
        <w:t>Processing Interval for Simple, Non-Simple, Porting Project and Customer Service Records (CSR)</w:t>
      </w:r>
      <w:bookmarkStart w:id="0" w:name="0067"/>
      <w:bookmarkEnd w:id="0"/>
    </w:p>
    <w:p w14:paraId="1BF69452" w14:textId="77777777" w:rsidR="00AE5198" w:rsidRPr="00397C25" w:rsidRDefault="00AE5198" w:rsidP="00AE5198">
      <w:pPr>
        <w:spacing w:after="0" w:line="270" w:lineRule="atLeast"/>
        <w:rPr>
          <w:rFonts w:ascii="avenir" w:eastAsia="Times New Roman" w:hAnsi="avenir" w:cs="Times New Roman"/>
          <w:i/>
          <w:iCs/>
          <w:color w:val="333333"/>
          <w:sz w:val="20"/>
          <w:szCs w:val="20"/>
        </w:rPr>
      </w:pPr>
      <w:r w:rsidRPr="00397C25">
        <w:rPr>
          <w:rFonts w:ascii="avenir" w:eastAsia="Times New Roman" w:hAnsi="avenir" w:cs="Times New Roman"/>
          <w:i/>
          <w:iCs/>
          <w:color w:val="333333"/>
          <w:sz w:val="20"/>
          <w:szCs w:val="20"/>
        </w:rPr>
        <w:t>Submitted By: NPIF</w:t>
      </w:r>
      <w:r>
        <w:rPr>
          <w:rFonts w:ascii="avenir" w:eastAsia="Times New Roman" w:hAnsi="avenir" w:cs="Times New Roman"/>
          <w:i/>
          <w:iCs/>
          <w:color w:val="333333"/>
          <w:sz w:val="20"/>
          <w:szCs w:val="20"/>
        </w:rPr>
        <w:t xml:space="preserve"> </w:t>
      </w:r>
    </w:p>
    <w:p w14:paraId="5DA4CB61" w14:textId="72C1EE6B" w:rsidR="00AE5198" w:rsidRDefault="00AE5198" w:rsidP="00AE5198">
      <w:pPr>
        <w:spacing w:after="0" w:line="270" w:lineRule="atLeast"/>
        <w:rPr>
          <w:rFonts w:ascii="avenir" w:eastAsia="Times New Roman" w:hAnsi="avenir" w:cs="Times New Roman"/>
          <w:i/>
          <w:iCs/>
          <w:color w:val="333333"/>
          <w:sz w:val="20"/>
          <w:szCs w:val="20"/>
        </w:rPr>
      </w:pPr>
      <w:r>
        <w:rPr>
          <w:rFonts w:ascii="avenir" w:eastAsia="Times New Roman" w:hAnsi="avenir" w:cs="Times New Roman"/>
          <w:i/>
          <w:iCs/>
          <w:color w:val="333333"/>
          <w:sz w:val="20"/>
          <w:szCs w:val="20"/>
        </w:rPr>
        <w:t>Accepted</w:t>
      </w:r>
      <w:r w:rsidRPr="00397C25">
        <w:rPr>
          <w:rFonts w:ascii="avenir" w:eastAsia="Times New Roman" w:hAnsi="avenir" w:cs="Times New Roman"/>
          <w:i/>
          <w:iCs/>
          <w:color w:val="333333"/>
          <w:sz w:val="20"/>
          <w:szCs w:val="20"/>
        </w:rPr>
        <w:t xml:space="preserve">: </w:t>
      </w:r>
      <w:r>
        <w:rPr>
          <w:rFonts w:ascii="avenir" w:eastAsia="Times New Roman" w:hAnsi="avenir" w:cs="Times New Roman"/>
          <w:i/>
          <w:iCs/>
          <w:color w:val="333333"/>
          <w:sz w:val="20"/>
          <w:szCs w:val="20"/>
        </w:rPr>
        <w:t>10/21/2010</w:t>
      </w:r>
    </w:p>
    <w:p w14:paraId="6FF20E5F" w14:textId="740093AC" w:rsidR="00476680" w:rsidRDefault="00D52D32" w:rsidP="00AE5198">
      <w:pPr>
        <w:spacing w:after="0" w:line="270" w:lineRule="atLeast"/>
        <w:rPr>
          <w:rFonts w:ascii="avenir" w:eastAsia="Times New Roman" w:hAnsi="avenir" w:cs="Times New Roman"/>
          <w:i/>
          <w:iCs/>
          <w:color w:val="333333"/>
          <w:sz w:val="20"/>
          <w:szCs w:val="20"/>
        </w:rPr>
      </w:pPr>
      <w:r>
        <w:rPr>
          <w:rFonts w:ascii="avenir" w:eastAsia="Times New Roman" w:hAnsi="avenir" w:cs="Times New Roman"/>
          <w:i/>
          <w:iCs/>
          <w:color w:val="333333"/>
          <w:sz w:val="20"/>
          <w:szCs w:val="20"/>
        </w:rPr>
        <w:t>Revised: 05/10/2011</w:t>
      </w:r>
    </w:p>
    <w:p w14:paraId="4D0DDBEB" w14:textId="10C23DF7" w:rsidR="007750CE" w:rsidRDefault="007750CE" w:rsidP="00AE5198">
      <w:pPr>
        <w:spacing w:after="0" w:line="270" w:lineRule="atLeast"/>
        <w:rPr>
          <w:rFonts w:ascii="avenir" w:eastAsia="Times New Roman" w:hAnsi="avenir" w:cs="Times New Roman"/>
          <w:i/>
          <w:iCs/>
          <w:color w:val="333333"/>
          <w:sz w:val="20"/>
          <w:szCs w:val="20"/>
        </w:rPr>
      </w:pPr>
      <w:r>
        <w:rPr>
          <w:rFonts w:ascii="avenir" w:eastAsia="Times New Roman" w:hAnsi="avenir" w:cs="Times New Roman"/>
          <w:i/>
          <w:iCs/>
          <w:color w:val="333333"/>
          <w:sz w:val="20"/>
          <w:szCs w:val="20"/>
        </w:rPr>
        <w:t>Revised: 08/06/2025</w:t>
      </w:r>
    </w:p>
    <w:p w14:paraId="161B2DEB" w14:textId="7D05794D" w:rsidR="00AE5198" w:rsidRPr="00397C25" w:rsidRDefault="00AE5198" w:rsidP="00AE5198">
      <w:pPr>
        <w:spacing w:after="190" w:line="270" w:lineRule="atLeast"/>
        <w:rPr>
          <w:rFonts w:ascii="avenir" w:eastAsia="Times New Roman" w:hAnsi="avenir" w:cs="Times New Roman"/>
          <w:i/>
          <w:iCs/>
          <w:color w:val="333333"/>
          <w:sz w:val="20"/>
          <w:szCs w:val="20"/>
        </w:rPr>
      </w:pPr>
      <w:r w:rsidRPr="00397C25">
        <w:rPr>
          <w:rFonts w:ascii="avenir" w:eastAsia="Times New Roman" w:hAnsi="avenir" w:cs="Times New Roman"/>
          <w:i/>
          <w:iCs/>
          <w:color w:val="333333"/>
          <w:sz w:val="20"/>
          <w:szCs w:val="20"/>
        </w:rPr>
        <w:t xml:space="preserve">Version: </w:t>
      </w:r>
      <w:r w:rsidR="007750CE">
        <w:rPr>
          <w:rFonts w:ascii="avenir" w:eastAsia="Times New Roman" w:hAnsi="avenir" w:cs="Times New Roman"/>
          <w:i/>
          <w:iCs/>
          <w:color w:val="333333"/>
          <w:sz w:val="20"/>
          <w:szCs w:val="20"/>
        </w:rPr>
        <w:t>3</w:t>
      </w:r>
    </w:p>
    <w:p w14:paraId="2BBD5681" w14:textId="77777777" w:rsidR="00AE5198" w:rsidRDefault="00AE5198" w:rsidP="00AE5198">
      <w:pPr>
        <w:spacing w:after="190" w:line="270" w:lineRule="atLeast"/>
        <w:outlineLvl w:val="3"/>
        <w:rPr>
          <w:rFonts w:ascii="avenir" w:eastAsia="Times New Roman" w:hAnsi="avenir" w:cs="Times New Roman"/>
          <w:color w:val="333333"/>
          <w:sz w:val="20"/>
          <w:szCs w:val="20"/>
        </w:rPr>
      </w:pPr>
      <w:bookmarkStart w:id="1" w:name="eztoc60040_2_23_5_37"/>
      <w:bookmarkEnd w:id="1"/>
      <w:r>
        <w:rPr>
          <w:rFonts w:ascii="avenir" w:eastAsia="Times New Roman" w:hAnsi="avenir" w:cs="Times New Roman"/>
          <w:b/>
          <w:bCs/>
          <w:color w:val="333333"/>
          <w:sz w:val="20"/>
          <w:szCs w:val="20"/>
        </w:rPr>
        <w:t>Version History</w:t>
      </w:r>
      <w:r w:rsidRPr="00143FD6">
        <w:rPr>
          <w:rFonts w:ascii="avenir" w:eastAsia="Times New Roman" w:hAnsi="avenir" w:cs="Times New Roman"/>
          <w:b/>
          <w:bCs/>
          <w:color w:val="333333"/>
          <w:sz w:val="20"/>
          <w:szCs w:val="20"/>
        </w:rPr>
        <w:t xml:space="preserve">: </w:t>
      </w:r>
      <w:r>
        <w:rPr>
          <w:rFonts w:ascii="avenir" w:eastAsia="Times New Roman" w:hAnsi="avenir" w:cs="Times New Roman"/>
          <w:color w:val="333333"/>
          <w:sz w:val="20"/>
          <w:szCs w:val="20"/>
        </w:rPr>
        <w:t xml:space="preserve"> </w:t>
      </w:r>
    </w:p>
    <w:p w14:paraId="342B1F6F" w14:textId="1D109A39" w:rsidR="00AE5198" w:rsidRPr="002A1D51" w:rsidRDefault="00AE5198" w:rsidP="00AE5198">
      <w:pPr>
        <w:spacing w:after="195" w:line="270" w:lineRule="atLeast"/>
        <w:rPr>
          <w:rFonts w:ascii="avenir" w:eastAsia="Times New Roman" w:hAnsi="avenir" w:cs="Times New Roman"/>
          <w:color w:val="333333"/>
          <w:sz w:val="20"/>
          <w:szCs w:val="20"/>
        </w:rPr>
      </w:pPr>
      <w:r>
        <w:rPr>
          <w:rFonts w:ascii="avenir" w:eastAsia="Times New Roman" w:hAnsi="avenir" w:cs="Times New Roman"/>
          <w:color w:val="333333"/>
          <w:sz w:val="20"/>
          <w:szCs w:val="20"/>
        </w:rPr>
        <w:t xml:space="preserve">This Best Practice was created by the LNPA WG </w:t>
      </w:r>
      <w:bookmarkStart w:id="2" w:name="_Hlk97556765"/>
      <w:r>
        <w:rPr>
          <w:rFonts w:ascii="avenir" w:eastAsia="Times New Roman" w:hAnsi="avenir" w:cs="Times New Roman"/>
          <w:color w:val="333333"/>
          <w:sz w:val="20"/>
          <w:szCs w:val="20"/>
        </w:rPr>
        <w:t xml:space="preserve">(now known as the NPIF – Number Portability Industry Forum) </w:t>
      </w:r>
      <w:bookmarkEnd w:id="2"/>
      <w:r>
        <w:rPr>
          <w:rFonts w:ascii="avenir" w:eastAsia="Times New Roman" w:hAnsi="avenir" w:cs="Times New Roman"/>
          <w:color w:val="333333"/>
          <w:sz w:val="20"/>
          <w:szCs w:val="20"/>
        </w:rPr>
        <w:t xml:space="preserve">and originally accepted on </w:t>
      </w:r>
      <w:r w:rsidR="00957F27">
        <w:rPr>
          <w:rFonts w:ascii="avenir" w:eastAsia="Times New Roman" w:hAnsi="avenir" w:cs="Times New Roman"/>
          <w:color w:val="333333"/>
          <w:sz w:val="20"/>
          <w:szCs w:val="20"/>
        </w:rPr>
        <w:t>10</w:t>
      </w:r>
      <w:r>
        <w:rPr>
          <w:rFonts w:ascii="avenir" w:eastAsia="Times New Roman" w:hAnsi="avenir" w:cs="Times New Roman"/>
          <w:color w:val="333333"/>
          <w:sz w:val="20"/>
          <w:szCs w:val="20"/>
        </w:rPr>
        <w:t>/</w:t>
      </w:r>
      <w:r w:rsidR="00957F27">
        <w:rPr>
          <w:rFonts w:ascii="avenir" w:eastAsia="Times New Roman" w:hAnsi="avenir" w:cs="Times New Roman"/>
          <w:color w:val="333333"/>
          <w:sz w:val="20"/>
          <w:szCs w:val="20"/>
        </w:rPr>
        <w:t>21</w:t>
      </w:r>
      <w:r>
        <w:rPr>
          <w:rFonts w:ascii="avenir" w:eastAsia="Times New Roman" w:hAnsi="avenir" w:cs="Times New Roman"/>
          <w:color w:val="333333"/>
          <w:sz w:val="20"/>
          <w:szCs w:val="20"/>
        </w:rPr>
        <w:t>/2010 (Version 1).</w:t>
      </w:r>
      <w:r w:rsidR="00D52D32">
        <w:rPr>
          <w:rFonts w:ascii="avenir" w:eastAsia="Times New Roman" w:hAnsi="avenir" w:cs="Times New Roman"/>
          <w:color w:val="333333"/>
          <w:sz w:val="20"/>
          <w:szCs w:val="20"/>
        </w:rPr>
        <w:t xml:space="preserve">  It was modified by the LNPA WG 5/10/11 </w:t>
      </w:r>
      <w:r w:rsidR="006F39BE">
        <w:rPr>
          <w:rFonts w:ascii="avenir" w:eastAsia="Times New Roman" w:hAnsi="avenir" w:cs="Times New Roman"/>
          <w:color w:val="333333"/>
          <w:sz w:val="20"/>
          <w:szCs w:val="20"/>
        </w:rPr>
        <w:t xml:space="preserve">(Version 2) </w:t>
      </w:r>
      <w:r w:rsidR="00D52D32">
        <w:rPr>
          <w:rFonts w:ascii="avenir" w:eastAsia="Times New Roman" w:hAnsi="avenir" w:cs="Times New Roman"/>
          <w:color w:val="333333"/>
          <w:sz w:val="20"/>
          <w:szCs w:val="20"/>
        </w:rPr>
        <w:t xml:space="preserve">and </w:t>
      </w:r>
      <w:r w:rsidRPr="002A1D51">
        <w:rPr>
          <w:rFonts w:ascii="avenir" w:eastAsia="Times New Roman" w:hAnsi="avenir" w:cs="Times New Roman"/>
          <w:color w:val="333333"/>
          <w:sz w:val="20"/>
          <w:szCs w:val="20"/>
        </w:rPr>
        <w:t>endorsed by the North American Numbering Council (NANC) at its May 17, 2011</w:t>
      </w:r>
      <w:r w:rsidR="005F24B4">
        <w:rPr>
          <w:rFonts w:ascii="avenir" w:eastAsia="Times New Roman" w:hAnsi="avenir" w:cs="Times New Roman"/>
          <w:color w:val="333333"/>
          <w:sz w:val="20"/>
          <w:szCs w:val="20"/>
        </w:rPr>
        <w:t>,</w:t>
      </w:r>
      <w:r w:rsidRPr="002A1D51">
        <w:rPr>
          <w:rFonts w:ascii="avenir" w:eastAsia="Times New Roman" w:hAnsi="avenir" w:cs="Times New Roman"/>
          <w:color w:val="333333"/>
          <w:sz w:val="20"/>
          <w:szCs w:val="20"/>
        </w:rPr>
        <w:t xml:space="preserve"> meeting.  At that meeting, the NANC also endorsed and agreed to forward this Best Practice to the FCC’s Wireline Competition Bureau with a request that it and its accompanying revisions to the NANC LNP Provisioning Flows be formally adopted.</w:t>
      </w:r>
    </w:p>
    <w:p w14:paraId="2E367CBD" w14:textId="0D02F73B" w:rsidR="00AE5198" w:rsidRDefault="00AE5198" w:rsidP="00AE5198">
      <w:pPr>
        <w:spacing w:after="195" w:line="270" w:lineRule="atLeast"/>
        <w:rPr>
          <w:rFonts w:ascii="avenir" w:eastAsia="Times New Roman" w:hAnsi="avenir" w:cs="Times New Roman"/>
          <w:color w:val="333333"/>
          <w:sz w:val="20"/>
          <w:szCs w:val="20"/>
        </w:rPr>
      </w:pPr>
      <w:r>
        <w:rPr>
          <w:rFonts w:ascii="avenir" w:eastAsia="Times New Roman" w:hAnsi="avenir" w:cs="Times New Roman"/>
          <w:color w:val="333333"/>
          <w:sz w:val="20"/>
          <w:szCs w:val="20"/>
        </w:rPr>
        <w:t>It was reviewed again at the NPIF on 12/13/2022 and consensus was reached that no changes were required.</w:t>
      </w:r>
    </w:p>
    <w:p w14:paraId="26C1CF26" w14:textId="3CA4D0C4" w:rsidR="007750CE" w:rsidRDefault="007750CE" w:rsidP="00AE5198">
      <w:pPr>
        <w:spacing w:after="195" w:line="270" w:lineRule="atLeast"/>
        <w:rPr>
          <w:rFonts w:ascii="avenir" w:eastAsia="Times New Roman" w:hAnsi="avenir" w:cs="Times New Roman"/>
          <w:color w:val="333333"/>
          <w:sz w:val="20"/>
          <w:szCs w:val="20"/>
        </w:rPr>
      </w:pPr>
      <w:r>
        <w:rPr>
          <w:rFonts w:ascii="avenir" w:eastAsia="Times New Roman" w:hAnsi="avenir" w:cs="Times New Roman"/>
          <w:color w:val="333333"/>
          <w:sz w:val="20"/>
          <w:szCs w:val="20"/>
        </w:rPr>
        <w:t xml:space="preserve">This Best Practice was updated by the NPIF </w:t>
      </w:r>
      <w:r w:rsidR="008B044F">
        <w:rPr>
          <w:rFonts w:ascii="avenir" w:eastAsia="Times New Roman" w:hAnsi="avenir" w:cs="Times New Roman"/>
          <w:color w:val="333333"/>
          <w:sz w:val="20"/>
          <w:szCs w:val="20"/>
        </w:rPr>
        <w:t>on 8/6/2</w:t>
      </w:r>
      <w:r w:rsidR="005C6699">
        <w:rPr>
          <w:rFonts w:ascii="avenir" w:eastAsia="Times New Roman" w:hAnsi="avenir" w:cs="Times New Roman"/>
          <w:color w:val="333333"/>
          <w:sz w:val="20"/>
          <w:szCs w:val="20"/>
        </w:rPr>
        <w:t>02</w:t>
      </w:r>
      <w:r w:rsidR="008B044F">
        <w:rPr>
          <w:rFonts w:ascii="avenir" w:eastAsia="Times New Roman" w:hAnsi="avenir" w:cs="Times New Roman"/>
          <w:color w:val="333333"/>
          <w:sz w:val="20"/>
          <w:szCs w:val="20"/>
        </w:rPr>
        <w:t xml:space="preserve">5 </w:t>
      </w:r>
      <w:r>
        <w:rPr>
          <w:rFonts w:ascii="avenir" w:eastAsia="Times New Roman" w:hAnsi="avenir" w:cs="Times New Roman"/>
          <w:color w:val="333333"/>
          <w:sz w:val="20"/>
          <w:szCs w:val="20"/>
        </w:rPr>
        <w:t xml:space="preserve">to remove hyperlinks to </w:t>
      </w:r>
      <w:r w:rsidRPr="007750CE">
        <w:rPr>
          <w:rFonts w:ascii="avenir" w:eastAsia="Times New Roman" w:hAnsi="avenir" w:cs="Times New Roman"/>
          <w:color w:val="333333"/>
          <w:sz w:val="20"/>
          <w:szCs w:val="20"/>
        </w:rPr>
        <w:t xml:space="preserve">Simple Port: LSR to FOC Interval Chart </w:t>
      </w:r>
      <w:r>
        <w:rPr>
          <w:rFonts w:ascii="avenir" w:eastAsia="Times New Roman" w:hAnsi="avenir" w:cs="Times New Roman"/>
          <w:color w:val="333333"/>
          <w:sz w:val="20"/>
          <w:szCs w:val="20"/>
        </w:rPr>
        <w:t>since the chart is already included in this BP.  In addition</w:t>
      </w:r>
      <w:r w:rsidR="008B044F">
        <w:rPr>
          <w:rFonts w:ascii="avenir" w:eastAsia="Times New Roman" w:hAnsi="avenir" w:cs="Times New Roman"/>
          <w:color w:val="333333"/>
          <w:sz w:val="20"/>
          <w:szCs w:val="20"/>
        </w:rPr>
        <w:t>,</w:t>
      </w:r>
      <w:r>
        <w:rPr>
          <w:rFonts w:ascii="avenir" w:eastAsia="Times New Roman" w:hAnsi="avenir" w:cs="Times New Roman"/>
          <w:color w:val="333333"/>
          <w:sz w:val="20"/>
          <w:szCs w:val="20"/>
        </w:rPr>
        <w:t xml:space="preserve"> the hyperlink to the </w:t>
      </w:r>
      <w:r w:rsidRPr="007750CE">
        <w:rPr>
          <w:rFonts w:ascii="avenir" w:eastAsia="Times New Roman" w:hAnsi="avenir" w:cs="Times New Roman"/>
          <w:color w:val="333333"/>
          <w:sz w:val="20"/>
          <w:szCs w:val="20"/>
        </w:rPr>
        <w:t>One Business Day</w:t>
      </w:r>
      <w:r w:rsidR="005C6699">
        <w:rPr>
          <w:rFonts w:ascii="avenir" w:eastAsia="Times New Roman" w:hAnsi="avenir" w:cs="Times New Roman"/>
          <w:color w:val="333333"/>
          <w:sz w:val="20"/>
          <w:szCs w:val="20"/>
        </w:rPr>
        <w:t xml:space="preserve"> chart</w:t>
      </w:r>
      <w:r w:rsidRPr="007750CE">
        <w:rPr>
          <w:rFonts w:ascii="avenir" w:eastAsia="Times New Roman" w:hAnsi="avenir" w:cs="Times New Roman"/>
          <w:color w:val="333333"/>
          <w:sz w:val="20"/>
          <w:szCs w:val="20"/>
        </w:rPr>
        <w:t>: FCC09-41 LSR Submit/FOC Receipt and Prospective Due Date/Time Chart for Normal Business Week (no Holidays)</w:t>
      </w:r>
      <w:r w:rsidR="005C6699">
        <w:rPr>
          <w:rFonts w:ascii="avenir" w:eastAsia="Times New Roman" w:hAnsi="avenir" w:cs="Times New Roman"/>
          <w:color w:val="333333"/>
          <w:sz w:val="20"/>
          <w:szCs w:val="20"/>
        </w:rPr>
        <w:t xml:space="preserve"> was updated and</w:t>
      </w:r>
      <w:r w:rsidR="004432A9">
        <w:rPr>
          <w:rFonts w:ascii="avenir" w:eastAsia="Times New Roman" w:hAnsi="avenir" w:cs="Times New Roman"/>
          <w:color w:val="333333"/>
          <w:sz w:val="20"/>
          <w:szCs w:val="20"/>
        </w:rPr>
        <w:t xml:space="preserve"> the actual document (One Business Day.doc)</w:t>
      </w:r>
      <w:r w:rsidR="005C6699">
        <w:rPr>
          <w:rFonts w:ascii="avenir" w:eastAsia="Times New Roman" w:hAnsi="avenir" w:cs="Times New Roman"/>
          <w:color w:val="333333"/>
          <w:sz w:val="20"/>
          <w:szCs w:val="20"/>
        </w:rPr>
        <w:t xml:space="preserve"> was embedded in this Best Practice</w:t>
      </w:r>
    </w:p>
    <w:p w14:paraId="5F1897E2" w14:textId="77777777" w:rsidR="002A1D51" w:rsidRPr="002A1D51" w:rsidRDefault="002A1D51" w:rsidP="002A1D51">
      <w:pPr>
        <w:spacing w:before="280" w:after="180" w:line="330" w:lineRule="atLeast"/>
        <w:outlineLvl w:val="3"/>
        <w:rPr>
          <w:rFonts w:ascii="avenir" w:eastAsia="Times New Roman" w:hAnsi="avenir" w:cs="Times New Roman"/>
          <w:b/>
          <w:bCs/>
          <w:color w:val="333333"/>
          <w:sz w:val="20"/>
          <w:szCs w:val="20"/>
        </w:rPr>
      </w:pPr>
      <w:bookmarkStart w:id="3" w:name="eztoc60040_2_68_5_141"/>
      <w:bookmarkEnd w:id="3"/>
      <w:r w:rsidRPr="002A1D51">
        <w:rPr>
          <w:rFonts w:ascii="avenir" w:eastAsia="Times New Roman" w:hAnsi="avenir" w:cs="Times New Roman"/>
          <w:b/>
          <w:bCs/>
          <w:color w:val="333333"/>
          <w:sz w:val="20"/>
          <w:szCs w:val="20"/>
        </w:rPr>
        <w:t>Background:</w:t>
      </w:r>
    </w:p>
    <w:p w14:paraId="4D87A0BA" w14:textId="7559B166" w:rsidR="002A1D51" w:rsidRPr="002A1D51" w:rsidRDefault="002A1D51" w:rsidP="002A1D51">
      <w:pPr>
        <w:spacing w:after="195" w:line="270" w:lineRule="atLeast"/>
        <w:rPr>
          <w:rFonts w:ascii="avenir" w:eastAsia="Times New Roman" w:hAnsi="avenir" w:cs="Times New Roman"/>
          <w:color w:val="333333"/>
          <w:sz w:val="20"/>
          <w:szCs w:val="20"/>
        </w:rPr>
      </w:pPr>
      <w:r w:rsidRPr="002A1D51">
        <w:rPr>
          <w:rFonts w:ascii="avenir" w:eastAsia="Times New Roman" w:hAnsi="avenir" w:cs="Times New Roman"/>
          <w:b/>
          <w:bCs/>
          <w:color w:val="333333"/>
          <w:sz w:val="20"/>
          <w:szCs w:val="20"/>
        </w:rPr>
        <w:t>Simple Port:</w:t>
      </w:r>
      <w:r w:rsidRPr="002A1D51">
        <w:rPr>
          <w:rFonts w:ascii="avenir" w:eastAsia="Times New Roman" w:hAnsi="avenir" w:cs="Times New Roman"/>
          <w:color w:val="333333"/>
          <w:sz w:val="20"/>
          <w:szCs w:val="20"/>
        </w:rPr>
        <w:t xml:space="preserve"> Per FCC Order 09-41 Service Providers are required to support a 1 business day order to port interval for simple LNP ports. </w:t>
      </w:r>
      <w:proofErr w:type="gramStart"/>
      <w:r w:rsidRPr="002A1D51">
        <w:rPr>
          <w:rFonts w:ascii="avenir" w:eastAsia="Times New Roman" w:hAnsi="avenir" w:cs="Times New Roman"/>
          <w:color w:val="333333"/>
          <w:sz w:val="20"/>
          <w:szCs w:val="20"/>
        </w:rPr>
        <w:t>By definition, simple</w:t>
      </w:r>
      <w:proofErr w:type="gramEnd"/>
      <w:r w:rsidRPr="002A1D51">
        <w:rPr>
          <w:rFonts w:ascii="avenir" w:eastAsia="Times New Roman" w:hAnsi="avenir" w:cs="Times New Roman"/>
          <w:color w:val="333333"/>
          <w:sz w:val="20"/>
          <w:szCs w:val="20"/>
        </w:rPr>
        <w:t xml:space="preserve"> port allows for a minimum requested due date of 1 business day (</w:t>
      </w:r>
      <w:r w:rsidR="005E3915" w:rsidRPr="002A1D51">
        <w:rPr>
          <w:rFonts w:ascii="avenir" w:eastAsia="Times New Roman" w:hAnsi="avenir" w:cs="Times New Roman"/>
          <w:color w:val="333333"/>
          <w:sz w:val="20"/>
          <w:szCs w:val="20"/>
        </w:rPr>
        <w:t>4-hour</w:t>
      </w:r>
      <w:r w:rsidRPr="002A1D51">
        <w:rPr>
          <w:rFonts w:ascii="avenir" w:eastAsia="Times New Roman" w:hAnsi="avenir" w:cs="Times New Roman"/>
          <w:color w:val="333333"/>
          <w:sz w:val="20"/>
          <w:szCs w:val="20"/>
        </w:rPr>
        <w:t xml:space="preserve"> Firm Order Confirmation [FOC] plus </w:t>
      </w:r>
      <w:proofErr w:type="gramStart"/>
      <w:r w:rsidRPr="002A1D51">
        <w:rPr>
          <w:rFonts w:ascii="avenir" w:eastAsia="Times New Roman" w:hAnsi="avenir" w:cs="Times New Roman"/>
          <w:color w:val="333333"/>
          <w:sz w:val="20"/>
          <w:szCs w:val="20"/>
        </w:rPr>
        <w:t>1 or 2 day</w:t>
      </w:r>
      <w:proofErr w:type="gramEnd"/>
      <w:r w:rsidRPr="002A1D51">
        <w:rPr>
          <w:rFonts w:ascii="avenir" w:eastAsia="Times New Roman" w:hAnsi="avenir" w:cs="Times New Roman"/>
          <w:color w:val="333333"/>
          <w:sz w:val="20"/>
          <w:szCs w:val="20"/>
        </w:rPr>
        <w:t xml:space="preserve"> due date).</w:t>
      </w:r>
    </w:p>
    <w:p w14:paraId="672DE16D" w14:textId="0E74F485" w:rsidR="002A1D51" w:rsidRPr="002A1D51" w:rsidRDefault="005E3915" w:rsidP="002A1D51">
      <w:pPr>
        <w:spacing w:after="195" w:line="270" w:lineRule="atLeast"/>
        <w:rPr>
          <w:rFonts w:ascii="avenir" w:eastAsia="Times New Roman" w:hAnsi="avenir" w:cs="Times New Roman"/>
          <w:color w:val="333333"/>
          <w:sz w:val="20"/>
          <w:szCs w:val="20"/>
        </w:rPr>
      </w:pPr>
      <w:r w:rsidRPr="002A1D51">
        <w:rPr>
          <w:rFonts w:ascii="avenir" w:eastAsia="Times New Roman" w:hAnsi="avenir" w:cs="Times New Roman"/>
          <w:b/>
          <w:bCs/>
          <w:color w:val="333333"/>
          <w:sz w:val="20"/>
          <w:szCs w:val="20"/>
        </w:rPr>
        <w:t>Non-Simple</w:t>
      </w:r>
      <w:r w:rsidR="002A1D51" w:rsidRPr="002A1D51">
        <w:rPr>
          <w:rFonts w:ascii="avenir" w:eastAsia="Times New Roman" w:hAnsi="avenir" w:cs="Times New Roman"/>
          <w:b/>
          <w:bCs/>
          <w:color w:val="333333"/>
          <w:sz w:val="20"/>
          <w:szCs w:val="20"/>
        </w:rPr>
        <w:t xml:space="preserve"> Port: </w:t>
      </w:r>
      <w:r w:rsidR="002A1D51" w:rsidRPr="002A1D51">
        <w:rPr>
          <w:rFonts w:ascii="avenir" w:eastAsia="Times New Roman" w:hAnsi="avenir" w:cs="Times New Roman"/>
          <w:color w:val="333333"/>
          <w:sz w:val="20"/>
          <w:szCs w:val="20"/>
        </w:rPr>
        <w:t xml:space="preserve">Service Providers have different definitions and thresholds associated </w:t>
      </w:r>
      <w:proofErr w:type="gramStart"/>
      <w:r w:rsidR="002A1D51" w:rsidRPr="002A1D51">
        <w:rPr>
          <w:rFonts w:ascii="avenir" w:eastAsia="Times New Roman" w:hAnsi="avenir" w:cs="Times New Roman"/>
          <w:color w:val="333333"/>
          <w:sz w:val="20"/>
          <w:szCs w:val="20"/>
        </w:rPr>
        <w:t>to</w:t>
      </w:r>
      <w:proofErr w:type="gramEnd"/>
      <w:r w:rsidR="002A1D51" w:rsidRPr="002A1D51">
        <w:rPr>
          <w:rFonts w:ascii="avenir" w:eastAsia="Times New Roman" w:hAnsi="avenir" w:cs="Times New Roman"/>
          <w:color w:val="333333"/>
          <w:sz w:val="20"/>
          <w:szCs w:val="20"/>
        </w:rPr>
        <w:t xml:space="preserve"> </w:t>
      </w:r>
      <w:r w:rsidRPr="002A1D51">
        <w:rPr>
          <w:rFonts w:ascii="avenir" w:eastAsia="Times New Roman" w:hAnsi="avenir" w:cs="Times New Roman"/>
          <w:color w:val="333333"/>
          <w:sz w:val="20"/>
          <w:szCs w:val="20"/>
        </w:rPr>
        <w:t>non-simple</w:t>
      </w:r>
      <w:r w:rsidR="002A1D51" w:rsidRPr="002A1D51">
        <w:rPr>
          <w:rFonts w:ascii="avenir" w:eastAsia="Times New Roman" w:hAnsi="avenir" w:cs="Times New Roman"/>
          <w:color w:val="333333"/>
          <w:sz w:val="20"/>
          <w:szCs w:val="20"/>
        </w:rPr>
        <w:t xml:space="preserve"> LNP ports which </w:t>
      </w:r>
      <w:proofErr w:type="gramStart"/>
      <w:r w:rsidR="002A1D51" w:rsidRPr="002A1D51">
        <w:rPr>
          <w:rFonts w:ascii="avenir" w:eastAsia="Times New Roman" w:hAnsi="avenir" w:cs="Times New Roman"/>
          <w:color w:val="333333"/>
          <w:sz w:val="20"/>
          <w:szCs w:val="20"/>
        </w:rPr>
        <w:t>requires</w:t>
      </w:r>
      <w:proofErr w:type="gramEnd"/>
      <w:r w:rsidR="002A1D51" w:rsidRPr="002A1D51">
        <w:rPr>
          <w:rFonts w:ascii="avenir" w:eastAsia="Times New Roman" w:hAnsi="avenir" w:cs="Times New Roman"/>
          <w:color w:val="333333"/>
          <w:sz w:val="20"/>
          <w:szCs w:val="20"/>
        </w:rPr>
        <w:t xml:space="preserve"> the Old Service Provider to process within a minimum requested due date of 4 business days (1 day Firm Order Confirmation [FOC] plus </w:t>
      </w:r>
      <w:proofErr w:type="gramStart"/>
      <w:r w:rsidR="002A1D51" w:rsidRPr="002A1D51">
        <w:rPr>
          <w:rFonts w:ascii="avenir" w:eastAsia="Times New Roman" w:hAnsi="avenir" w:cs="Times New Roman"/>
          <w:color w:val="333333"/>
          <w:sz w:val="20"/>
          <w:szCs w:val="20"/>
        </w:rPr>
        <w:t>3 day</w:t>
      </w:r>
      <w:proofErr w:type="gramEnd"/>
      <w:r w:rsidR="002A1D51" w:rsidRPr="002A1D51">
        <w:rPr>
          <w:rFonts w:ascii="avenir" w:eastAsia="Times New Roman" w:hAnsi="avenir" w:cs="Times New Roman"/>
          <w:color w:val="333333"/>
          <w:sz w:val="20"/>
          <w:szCs w:val="20"/>
        </w:rPr>
        <w:t xml:space="preserve"> due date).</w:t>
      </w:r>
    </w:p>
    <w:p w14:paraId="662DF4FA" w14:textId="37D55A19" w:rsidR="002A1D51" w:rsidRPr="002A1D51" w:rsidRDefault="002A1D51" w:rsidP="002A1D51">
      <w:pPr>
        <w:spacing w:after="195" w:line="270" w:lineRule="atLeast"/>
        <w:rPr>
          <w:rFonts w:ascii="avenir" w:eastAsia="Times New Roman" w:hAnsi="avenir" w:cs="Times New Roman"/>
          <w:color w:val="333333"/>
          <w:sz w:val="20"/>
          <w:szCs w:val="20"/>
        </w:rPr>
      </w:pPr>
      <w:r w:rsidRPr="002A1D51">
        <w:rPr>
          <w:rFonts w:ascii="avenir" w:eastAsia="Times New Roman" w:hAnsi="avenir" w:cs="Times New Roman"/>
          <w:b/>
          <w:bCs/>
          <w:color w:val="333333"/>
          <w:sz w:val="20"/>
          <w:szCs w:val="20"/>
        </w:rPr>
        <w:t>Project Port:</w:t>
      </w:r>
      <w:r w:rsidRPr="002A1D51">
        <w:rPr>
          <w:rFonts w:ascii="avenir" w:eastAsia="Times New Roman" w:hAnsi="avenir" w:cs="Times New Roman"/>
          <w:color w:val="333333"/>
          <w:sz w:val="20"/>
          <w:szCs w:val="20"/>
        </w:rPr>
        <w:t> Typically</w:t>
      </w:r>
      <w:r w:rsidR="005E3915">
        <w:rPr>
          <w:rFonts w:ascii="avenir" w:eastAsia="Times New Roman" w:hAnsi="avenir" w:cs="Times New Roman"/>
          <w:color w:val="333333"/>
          <w:sz w:val="20"/>
          <w:szCs w:val="20"/>
        </w:rPr>
        <w:t>,</w:t>
      </w:r>
      <w:r w:rsidRPr="002A1D51">
        <w:rPr>
          <w:rFonts w:ascii="avenir" w:eastAsia="Times New Roman" w:hAnsi="avenir" w:cs="Times New Roman"/>
          <w:color w:val="333333"/>
          <w:sz w:val="20"/>
          <w:szCs w:val="20"/>
        </w:rPr>
        <w:t xml:space="preserve"> Old Service Providers define an LNP project as </w:t>
      </w:r>
      <w:proofErr w:type="gramStart"/>
      <w:r w:rsidRPr="002A1D51">
        <w:rPr>
          <w:rFonts w:ascii="avenir" w:eastAsia="Times New Roman" w:hAnsi="avenir" w:cs="Times New Roman"/>
          <w:color w:val="333333"/>
          <w:sz w:val="20"/>
          <w:szCs w:val="20"/>
        </w:rPr>
        <w:t>a LNP</w:t>
      </w:r>
      <w:proofErr w:type="gramEnd"/>
      <w:r w:rsidRPr="002A1D51">
        <w:rPr>
          <w:rFonts w:ascii="avenir" w:eastAsia="Times New Roman" w:hAnsi="avenir" w:cs="Times New Roman"/>
          <w:color w:val="333333"/>
          <w:sz w:val="20"/>
          <w:szCs w:val="20"/>
        </w:rPr>
        <w:t xml:space="preserve"> request that is above the maximum non simple port LNP order threshold. LNP orders that are defined as a project order result in longer FOC and due date intervals. Due dates and processing timelines lack definition and are often negotiated with the Old Service Provider. In addition to the lack of interval standardization, FCC Order 09-41 did not establish standard minimum thresholds in terms of the quantity of TNs that could be considered a LNP project. The result is that </w:t>
      </w:r>
      <w:proofErr w:type="gramStart"/>
      <w:r w:rsidRPr="002A1D51">
        <w:rPr>
          <w:rFonts w:ascii="avenir" w:eastAsia="Times New Roman" w:hAnsi="avenir" w:cs="Times New Roman"/>
          <w:color w:val="333333"/>
          <w:sz w:val="20"/>
          <w:szCs w:val="20"/>
        </w:rPr>
        <w:t>a number of</w:t>
      </w:r>
      <w:proofErr w:type="gramEnd"/>
      <w:r w:rsidRPr="002A1D51">
        <w:rPr>
          <w:rFonts w:ascii="avenir" w:eastAsia="Times New Roman" w:hAnsi="avenir" w:cs="Times New Roman"/>
          <w:color w:val="333333"/>
          <w:sz w:val="20"/>
          <w:szCs w:val="20"/>
        </w:rPr>
        <w:t xml:space="preserve"> Service Providers have established minimum thresholds of TNs, some as low as 2, that are not candidates for the </w:t>
      </w:r>
      <w:r w:rsidR="00B00E77" w:rsidRPr="002A1D51">
        <w:rPr>
          <w:rFonts w:ascii="avenir" w:eastAsia="Times New Roman" w:hAnsi="avenir" w:cs="Times New Roman"/>
          <w:color w:val="333333"/>
          <w:sz w:val="20"/>
          <w:szCs w:val="20"/>
        </w:rPr>
        <w:t>4-day</w:t>
      </w:r>
      <w:r w:rsidRPr="002A1D51">
        <w:rPr>
          <w:rFonts w:ascii="avenir" w:eastAsia="Times New Roman" w:hAnsi="avenir" w:cs="Times New Roman"/>
          <w:color w:val="333333"/>
          <w:sz w:val="20"/>
          <w:szCs w:val="20"/>
        </w:rPr>
        <w:t xml:space="preserve"> non-simple porting interval.</w:t>
      </w:r>
    </w:p>
    <w:p w14:paraId="0C1C079F" w14:textId="77777777" w:rsidR="002A1D51" w:rsidRPr="002A1D51" w:rsidRDefault="002A1D51" w:rsidP="002A1D51">
      <w:pPr>
        <w:spacing w:after="195" w:line="270" w:lineRule="atLeast"/>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 xml:space="preserve">This proposed Best Practice seeks to reach consensus at the LNPA Working Group on an acceptable least common denominator </w:t>
      </w:r>
      <w:proofErr w:type="gramStart"/>
      <w:r w:rsidRPr="002A1D51">
        <w:rPr>
          <w:rFonts w:ascii="avenir" w:eastAsia="Times New Roman" w:hAnsi="avenir" w:cs="Times New Roman"/>
          <w:color w:val="333333"/>
          <w:sz w:val="20"/>
          <w:szCs w:val="20"/>
        </w:rPr>
        <w:t>in order to</w:t>
      </w:r>
      <w:proofErr w:type="gramEnd"/>
      <w:r w:rsidRPr="002A1D51">
        <w:rPr>
          <w:rFonts w:ascii="avenir" w:eastAsia="Times New Roman" w:hAnsi="avenir" w:cs="Times New Roman"/>
          <w:color w:val="333333"/>
          <w:sz w:val="20"/>
          <w:szCs w:val="20"/>
        </w:rPr>
        <w:t xml:space="preserve"> do the following:</w:t>
      </w:r>
    </w:p>
    <w:p w14:paraId="2A5D0859" w14:textId="77777777" w:rsidR="002A1D51" w:rsidRPr="002A1D51" w:rsidRDefault="002A1D51" w:rsidP="002A1D51">
      <w:pPr>
        <w:spacing w:after="195" w:line="270" w:lineRule="atLeast"/>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 xml:space="preserve">1. Remind Service Providers of their obligation to return a Firm Order Confirmation (FOC) or an appropriate error message for all simple wireline and intermodal ports within 24 hours (excluding weekends and holidays) as directed </w:t>
      </w:r>
      <w:proofErr w:type="gramStart"/>
      <w:r w:rsidRPr="002A1D51">
        <w:rPr>
          <w:rFonts w:ascii="avenir" w:eastAsia="Times New Roman" w:hAnsi="avenir" w:cs="Times New Roman"/>
          <w:color w:val="333333"/>
          <w:sz w:val="20"/>
          <w:szCs w:val="20"/>
        </w:rPr>
        <w:t>in</w:t>
      </w:r>
      <w:proofErr w:type="gramEnd"/>
      <w:r w:rsidRPr="002A1D51">
        <w:rPr>
          <w:rFonts w:ascii="avenir" w:eastAsia="Times New Roman" w:hAnsi="avenir" w:cs="Times New Roman"/>
          <w:color w:val="333333"/>
          <w:sz w:val="20"/>
          <w:szCs w:val="20"/>
        </w:rPr>
        <w:t xml:space="preserve"> FCC 03-284A1 and as previously set forth in Best Practice 47 now superseded by Best Practice 67.</w:t>
      </w:r>
    </w:p>
    <w:p w14:paraId="4E1610E7" w14:textId="0EEE4B60" w:rsidR="002A1D51" w:rsidRPr="002A1D51" w:rsidRDefault="002A1D51" w:rsidP="002A1D51">
      <w:pPr>
        <w:spacing w:after="195" w:line="270" w:lineRule="atLeast"/>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lastRenderedPageBreak/>
        <w:t xml:space="preserve">2. Re-affirm earlier consensus of the LNPA WG that the </w:t>
      </w:r>
      <w:r w:rsidR="005E3915" w:rsidRPr="002A1D51">
        <w:rPr>
          <w:rFonts w:ascii="avenir" w:eastAsia="Times New Roman" w:hAnsi="avenir" w:cs="Times New Roman"/>
          <w:color w:val="333333"/>
          <w:sz w:val="20"/>
          <w:szCs w:val="20"/>
        </w:rPr>
        <w:t>4-hour</w:t>
      </w:r>
      <w:r w:rsidRPr="002A1D51">
        <w:rPr>
          <w:rFonts w:ascii="avenir" w:eastAsia="Times New Roman" w:hAnsi="avenir" w:cs="Times New Roman"/>
          <w:color w:val="333333"/>
          <w:sz w:val="20"/>
          <w:szCs w:val="20"/>
        </w:rPr>
        <w:t xml:space="preserve"> Firm Order Confirmation (FOC) response to simple wireline and intermodal ports with shortened intervals as mandated by FCC 09-41 starts when a complete and accurate LSR is received by the Old Service Provider or is received by the agent/service bureau/clearing house of the Old Service Provider as previously set forth in Best Practice 62 now superseded by Best Practice 67. Also see Chart 1 &amp; 2.</w:t>
      </w:r>
    </w:p>
    <w:p w14:paraId="3F934E34" w14:textId="66CE50A1" w:rsidR="002A1D51" w:rsidRPr="002A1D51" w:rsidRDefault="002A1D51" w:rsidP="002A1D51">
      <w:pPr>
        <w:spacing w:after="195" w:line="270" w:lineRule="atLeast"/>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 xml:space="preserve">3. Establish the minimum quantity of TNs on a port request that can be considered a “project” by the Old Service Provider for which the due date can be negotiated between the Old and New Service Providers and not necessarily a candidate for the </w:t>
      </w:r>
      <w:r w:rsidR="005E3915" w:rsidRPr="002A1D51">
        <w:rPr>
          <w:rFonts w:ascii="avenir" w:eastAsia="Times New Roman" w:hAnsi="avenir" w:cs="Times New Roman"/>
          <w:color w:val="333333"/>
          <w:sz w:val="20"/>
          <w:szCs w:val="20"/>
        </w:rPr>
        <w:t>4-business</w:t>
      </w:r>
      <w:r w:rsidRPr="002A1D51">
        <w:rPr>
          <w:rFonts w:ascii="avenir" w:eastAsia="Times New Roman" w:hAnsi="avenir" w:cs="Times New Roman"/>
          <w:color w:val="333333"/>
          <w:sz w:val="20"/>
          <w:szCs w:val="20"/>
        </w:rPr>
        <w:t xml:space="preserve"> day non-simple porting interval.</w:t>
      </w:r>
    </w:p>
    <w:p w14:paraId="112BE408" w14:textId="77777777" w:rsidR="002A1D51" w:rsidRPr="002A1D51" w:rsidRDefault="002A1D51" w:rsidP="002A1D51">
      <w:pPr>
        <w:spacing w:after="195" w:line="270" w:lineRule="atLeast"/>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4. Establish the minimum quantity of TNs on a port request that can be considered a “project” by the Old Service Provider for which the response to the Local Service Request (LSR) (either the Firm Order Confirmation [FOC] or Reject, whichever is applicable) can exceed 24 clock hours.</w:t>
      </w:r>
    </w:p>
    <w:p w14:paraId="5BD7B0CA" w14:textId="77777777" w:rsidR="002A1D51" w:rsidRPr="002A1D51" w:rsidRDefault="002A1D51" w:rsidP="002A1D51">
      <w:pPr>
        <w:spacing w:after="195" w:line="270" w:lineRule="atLeast"/>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5. Establish the minimum quantity of TNs on a requested Customer Service Record (CSR), if applicable, for which the return of the CSR to the requesting New Service Provider can exceed 24 clock hours and be negotiated between the Old and New Service Providers.</w:t>
      </w:r>
    </w:p>
    <w:p w14:paraId="7CA623D3" w14:textId="570978AD" w:rsidR="002A1D51" w:rsidRPr="002A1D51" w:rsidRDefault="002A1D51" w:rsidP="002A1D51">
      <w:pPr>
        <w:spacing w:before="280" w:after="180" w:line="330" w:lineRule="atLeast"/>
        <w:outlineLvl w:val="3"/>
        <w:rPr>
          <w:rFonts w:ascii="avenir" w:eastAsia="Times New Roman" w:hAnsi="avenir" w:cs="Times New Roman"/>
          <w:b/>
          <w:bCs/>
          <w:color w:val="333333"/>
          <w:sz w:val="20"/>
          <w:szCs w:val="20"/>
        </w:rPr>
      </w:pPr>
      <w:bookmarkStart w:id="4" w:name="eztoc60040_2_68_5_142"/>
      <w:bookmarkEnd w:id="4"/>
      <w:r w:rsidRPr="002A1D51">
        <w:rPr>
          <w:rFonts w:ascii="avenir" w:eastAsia="Times New Roman" w:hAnsi="avenir" w:cs="Times New Roman"/>
          <w:b/>
          <w:bCs/>
          <w:color w:val="333333"/>
          <w:sz w:val="20"/>
          <w:szCs w:val="20"/>
        </w:rPr>
        <w:t>Decisions/Recommendations</w:t>
      </w:r>
      <w:r w:rsidR="009D024B">
        <w:rPr>
          <w:rFonts w:ascii="avenir" w:eastAsia="Times New Roman" w:hAnsi="avenir" w:cs="Times New Roman"/>
          <w:b/>
          <w:bCs/>
          <w:color w:val="333333"/>
          <w:sz w:val="20"/>
          <w:szCs w:val="20"/>
        </w:rPr>
        <w:t>:</w:t>
      </w:r>
    </w:p>
    <w:p w14:paraId="0CB94BD1" w14:textId="77777777" w:rsidR="002A1D51" w:rsidRPr="002A1D51" w:rsidRDefault="002A1D51" w:rsidP="002A1D51">
      <w:pPr>
        <w:spacing w:after="195" w:line="270" w:lineRule="atLeast"/>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For simple wireline and intermodal ports as described in Best Practices 47 and 62 respectively, it is the intent of the LNPA WG to consolidate the information and present it as follows in its condensed form.  Further, for non-simple ports, it is the position of the LNPA WG that the following </w:t>
      </w:r>
      <w:r w:rsidRPr="002A1D51">
        <w:rPr>
          <w:rFonts w:ascii="avenir" w:eastAsia="Times New Roman" w:hAnsi="avenir" w:cs="Times New Roman"/>
          <w:b/>
          <w:bCs/>
          <w:color w:val="333333"/>
          <w:sz w:val="20"/>
          <w:szCs w:val="20"/>
        </w:rPr>
        <w:t>minimum</w:t>
      </w:r>
      <w:r w:rsidRPr="002A1D51">
        <w:rPr>
          <w:rFonts w:ascii="avenir" w:eastAsia="Times New Roman" w:hAnsi="avenir" w:cs="Times New Roman"/>
          <w:color w:val="333333"/>
          <w:sz w:val="20"/>
          <w:szCs w:val="20"/>
        </w:rPr>
        <w:t> thresholds and processing timelines shall apply.  NOTE: The following are subject to applicable state guidelines and unless otherwise negotiated between the involved Service Providers.</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0067"/>
      </w:tblPr>
      <w:tblGrid>
        <w:gridCol w:w="1364"/>
        <w:gridCol w:w="1551"/>
        <w:gridCol w:w="2094"/>
        <w:gridCol w:w="2200"/>
        <w:gridCol w:w="2135"/>
      </w:tblGrid>
      <w:tr w:rsidR="002A1D51" w:rsidRPr="002A1D51" w14:paraId="79FF08D7" w14:textId="77777777" w:rsidTr="002A1D51">
        <w:tc>
          <w:tcPr>
            <w:tcW w:w="0" w:type="auto"/>
            <w:tcBorders>
              <w:top w:val="outset" w:sz="6" w:space="0" w:color="auto"/>
              <w:left w:val="outset" w:sz="6" w:space="0" w:color="auto"/>
              <w:bottom w:val="single" w:sz="6" w:space="0" w:color="A6A6A6"/>
              <w:right w:val="outset" w:sz="6" w:space="0" w:color="auto"/>
            </w:tcBorders>
            <w:shd w:val="clear" w:color="auto" w:fill="666666"/>
            <w:tcMar>
              <w:top w:w="180" w:type="dxa"/>
              <w:left w:w="180" w:type="dxa"/>
              <w:bottom w:w="180" w:type="dxa"/>
              <w:right w:w="180" w:type="dxa"/>
            </w:tcMar>
            <w:vAlign w:val="bottom"/>
            <w:hideMark/>
          </w:tcPr>
          <w:p w14:paraId="3B9E55A3" w14:textId="77777777" w:rsidR="002A1D51" w:rsidRPr="002A1D51" w:rsidRDefault="002A1D51" w:rsidP="002A1D51">
            <w:pPr>
              <w:spacing w:before="180" w:after="180" w:line="240" w:lineRule="auto"/>
              <w:rPr>
                <w:rFonts w:ascii="avenir" w:eastAsia="Times New Roman" w:hAnsi="avenir" w:cs="Times New Roman"/>
                <w:b/>
                <w:bCs/>
                <w:color w:val="FFFFFF"/>
                <w:sz w:val="20"/>
                <w:szCs w:val="20"/>
              </w:rPr>
            </w:pPr>
            <w:r w:rsidRPr="002A1D51">
              <w:rPr>
                <w:rFonts w:ascii="avenir" w:eastAsia="Times New Roman" w:hAnsi="avenir" w:cs="Times New Roman"/>
                <w:b/>
                <w:bCs/>
                <w:color w:val="FFFFFF"/>
                <w:sz w:val="20"/>
                <w:szCs w:val="20"/>
              </w:rPr>
              <w:t> </w:t>
            </w:r>
          </w:p>
        </w:tc>
        <w:tc>
          <w:tcPr>
            <w:tcW w:w="0" w:type="auto"/>
            <w:tcBorders>
              <w:top w:val="outset" w:sz="6" w:space="0" w:color="auto"/>
              <w:left w:val="outset" w:sz="6" w:space="0" w:color="auto"/>
              <w:bottom w:val="single" w:sz="6" w:space="0" w:color="A6A6A6"/>
              <w:right w:val="outset" w:sz="6" w:space="0" w:color="auto"/>
            </w:tcBorders>
            <w:shd w:val="clear" w:color="auto" w:fill="666666"/>
            <w:tcMar>
              <w:top w:w="180" w:type="dxa"/>
              <w:left w:w="180" w:type="dxa"/>
              <w:bottom w:w="180" w:type="dxa"/>
              <w:right w:w="180" w:type="dxa"/>
            </w:tcMar>
            <w:vAlign w:val="bottom"/>
            <w:hideMark/>
          </w:tcPr>
          <w:p w14:paraId="44481758" w14:textId="77777777" w:rsidR="002A1D51" w:rsidRPr="002A1D51" w:rsidRDefault="002A1D51" w:rsidP="002A1D51">
            <w:pPr>
              <w:spacing w:before="180" w:after="80" w:line="240" w:lineRule="auto"/>
              <w:jc w:val="center"/>
              <w:rPr>
                <w:rFonts w:ascii="avenir" w:eastAsia="Times New Roman" w:hAnsi="avenir" w:cs="Times New Roman"/>
                <w:b/>
                <w:bCs/>
                <w:color w:val="FFFFFF"/>
                <w:sz w:val="20"/>
                <w:szCs w:val="20"/>
              </w:rPr>
            </w:pPr>
            <w:r w:rsidRPr="002A1D51">
              <w:rPr>
                <w:rFonts w:ascii="avenir" w:eastAsia="Times New Roman" w:hAnsi="avenir" w:cs="Times New Roman"/>
                <w:b/>
                <w:bCs/>
                <w:color w:val="FFFFFF"/>
                <w:sz w:val="20"/>
                <w:szCs w:val="20"/>
              </w:rPr>
              <w:t>TN QTY on Request</w:t>
            </w:r>
          </w:p>
        </w:tc>
        <w:tc>
          <w:tcPr>
            <w:tcW w:w="0" w:type="auto"/>
            <w:tcBorders>
              <w:top w:val="outset" w:sz="6" w:space="0" w:color="auto"/>
              <w:left w:val="outset" w:sz="6" w:space="0" w:color="auto"/>
              <w:bottom w:val="single" w:sz="6" w:space="0" w:color="A6A6A6"/>
              <w:right w:val="outset" w:sz="6" w:space="0" w:color="auto"/>
            </w:tcBorders>
            <w:shd w:val="clear" w:color="auto" w:fill="666666"/>
            <w:tcMar>
              <w:top w:w="180" w:type="dxa"/>
              <w:left w:w="180" w:type="dxa"/>
              <w:bottom w:w="180" w:type="dxa"/>
              <w:right w:w="180" w:type="dxa"/>
            </w:tcMar>
            <w:vAlign w:val="bottom"/>
            <w:hideMark/>
          </w:tcPr>
          <w:p w14:paraId="1CB46F9A" w14:textId="77777777" w:rsidR="002A1D51" w:rsidRPr="002A1D51" w:rsidRDefault="002A1D51" w:rsidP="002A1D51">
            <w:pPr>
              <w:spacing w:before="180" w:after="80" w:line="240" w:lineRule="auto"/>
              <w:jc w:val="center"/>
              <w:rPr>
                <w:rFonts w:ascii="avenir" w:eastAsia="Times New Roman" w:hAnsi="avenir" w:cs="Times New Roman"/>
                <w:b/>
                <w:bCs/>
                <w:color w:val="FFFFFF"/>
                <w:sz w:val="20"/>
                <w:szCs w:val="20"/>
              </w:rPr>
            </w:pPr>
            <w:r w:rsidRPr="002A1D51">
              <w:rPr>
                <w:rFonts w:ascii="avenir" w:eastAsia="Times New Roman" w:hAnsi="avenir" w:cs="Times New Roman"/>
                <w:b/>
                <w:bCs/>
                <w:color w:val="FFFFFF"/>
                <w:sz w:val="20"/>
                <w:szCs w:val="20"/>
              </w:rPr>
              <w:t>FOC Return (</w:t>
            </w:r>
            <w:proofErr w:type="spellStart"/>
            <w:r w:rsidRPr="002A1D51">
              <w:rPr>
                <w:rFonts w:ascii="avenir" w:eastAsia="Times New Roman" w:hAnsi="avenir" w:cs="Times New Roman"/>
                <w:b/>
                <w:bCs/>
                <w:color w:val="FFFFFF"/>
                <w:sz w:val="20"/>
                <w:szCs w:val="20"/>
              </w:rPr>
              <w:t>hrs</w:t>
            </w:r>
            <w:proofErr w:type="spellEnd"/>
            <w:r w:rsidRPr="002A1D51">
              <w:rPr>
                <w:rFonts w:ascii="avenir" w:eastAsia="Times New Roman" w:hAnsi="avenir" w:cs="Times New Roman"/>
                <w:b/>
                <w:bCs/>
                <w:color w:val="FFFFFF"/>
                <w:sz w:val="20"/>
                <w:szCs w:val="20"/>
              </w:rPr>
              <w:t>)</w:t>
            </w:r>
          </w:p>
        </w:tc>
        <w:tc>
          <w:tcPr>
            <w:tcW w:w="0" w:type="auto"/>
            <w:tcBorders>
              <w:top w:val="outset" w:sz="6" w:space="0" w:color="auto"/>
              <w:left w:val="outset" w:sz="6" w:space="0" w:color="auto"/>
              <w:bottom w:val="single" w:sz="6" w:space="0" w:color="A6A6A6"/>
              <w:right w:val="outset" w:sz="6" w:space="0" w:color="auto"/>
            </w:tcBorders>
            <w:shd w:val="clear" w:color="auto" w:fill="666666"/>
            <w:tcMar>
              <w:top w:w="180" w:type="dxa"/>
              <w:left w:w="180" w:type="dxa"/>
              <w:bottom w:w="180" w:type="dxa"/>
              <w:right w:w="180" w:type="dxa"/>
            </w:tcMar>
            <w:vAlign w:val="bottom"/>
            <w:hideMark/>
          </w:tcPr>
          <w:p w14:paraId="512A183F" w14:textId="77777777" w:rsidR="002A1D51" w:rsidRPr="002A1D51" w:rsidRDefault="002A1D51" w:rsidP="002A1D51">
            <w:pPr>
              <w:spacing w:before="180" w:after="80" w:line="240" w:lineRule="auto"/>
              <w:jc w:val="center"/>
              <w:rPr>
                <w:rFonts w:ascii="avenir" w:eastAsia="Times New Roman" w:hAnsi="avenir" w:cs="Times New Roman"/>
                <w:b/>
                <w:bCs/>
                <w:color w:val="FFFFFF"/>
                <w:sz w:val="20"/>
                <w:szCs w:val="20"/>
              </w:rPr>
            </w:pPr>
            <w:r w:rsidRPr="002A1D51">
              <w:rPr>
                <w:rFonts w:ascii="avenir" w:eastAsia="Times New Roman" w:hAnsi="avenir" w:cs="Times New Roman"/>
                <w:b/>
                <w:bCs/>
                <w:color w:val="FFFFFF"/>
                <w:sz w:val="20"/>
                <w:szCs w:val="20"/>
              </w:rPr>
              <w:t>Port Interval (Bus Days)</w:t>
            </w:r>
          </w:p>
        </w:tc>
        <w:tc>
          <w:tcPr>
            <w:tcW w:w="0" w:type="auto"/>
            <w:tcBorders>
              <w:top w:val="outset" w:sz="6" w:space="0" w:color="auto"/>
              <w:left w:val="outset" w:sz="6" w:space="0" w:color="auto"/>
              <w:bottom w:val="single" w:sz="6" w:space="0" w:color="A6A6A6"/>
              <w:right w:val="outset" w:sz="6" w:space="0" w:color="auto"/>
            </w:tcBorders>
            <w:shd w:val="clear" w:color="auto" w:fill="666666"/>
            <w:tcMar>
              <w:top w:w="180" w:type="dxa"/>
              <w:left w:w="180" w:type="dxa"/>
              <w:bottom w:w="180" w:type="dxa"/>
              <w:right w:w="180" w:type="dxa"/>
            </w:tcMar>
            <w:vAlign w:val="bottom"/>
            <w:hideMark/>
          </w:tcPr>
          <w:p w14:paraId="56F116A8" w14:textId="77777777" w:rsidR="002A1D51" w:rsidRPr="002A1D51" w:rsidRDefault="002A1D51" w:rsidP="002A1D51">
            <w:pPr>
              <w:spacing w:before="180" w:after="80" w:line="240" w:lineRule="auto"/>
              <w:jc w:val="center"/>
              <w:rPr>
                <w:rFonts w:ascii="avenir" w:eastAsia="Times New Roman" w:hAnsi="avenir" w:cs="Times New Roman"/>
                <w:b/>
                <w:bCs/>
                <w:color w:val="FFFFFF"/>
                <w:sz w:val="20"/>
                <w:szCs w:val="20"/>
              </w:rPr>
            </w:pPr>
            <w:r w:rsidRPr="002A1D51">
              <w:rPr>
                <w:rFonts w:ascii="avenir" w:eastAsia="Times New Roman" w:hAnsi="avenir" w:cs="Times New Roman"/>
                <w:b/>
                <w:bCs/>
                <w:color w:val="FFFFFF"/>
                <w:sz w:val="20"/>
                <w:szCs w:val="20"/>
              </w:rPr>
              <w:t>Total port Interval (Bus Days)</w:t>
            </w:r>
          </w:p>
        </w:tc>
      </w:tr>
      <w:tr w:rsidR="002A1D51" w:rsidRPr="002A1D51" w14:paraId="07817489" w14:textId="77777777" w:rsidTr="002A1D51">
        <w:tc>
          <w:tcPr>
            <w:tcW w:w="0" w:type="auto"/>
            <w:tcBorders>
              <w:top w:val="single" w:sz="6" w:space="0" w:color="000000"/>
              <w:left w:val="single" w:sz="6" w:space="0" w:color="000000"/>
              <w:bottom w:val="single" w:sz="6" w:space="0" w:color="000000"/>
              <w:right w:val="single" w:sz="6" w:space="0" w:color="000000"/>
            </w:tcBorders>
            <w:shd w:val="clear" w:color="auto" w:fill="FFFFFF"/>
            <w:tcMar>
              <w:top w:w="180" w:type="dxa"/>
              <w:left w:w="0" w:type="dxa"/>
              <w:bottom w:w="180" w:type="dxa"/>
              <w:right w:w="0" w:type="dxa"/>
            </w:tcMar>
            <w:vAlign w:val="center"/>
            <w:hideMark/>
          </w:tcPr>
          <w:p w14:paraId="480309D4" w14:textId="77777777" w:rsidR="002A1D51" w:rsidRPr="002A1D51" w:rsidRDefault="002A1D51" w:rsidP="002A1D51">
            <w:pPr>
              <w:spacing w:before="180" w:after="0" w:line="240" w:lineRule="auto"/>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Simple (Chart 1 &amp; 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80" w:type="dxa"/>
              <w:left w:w="0" w:type="dxa"/>
              <w:bottom w:w="180" w:type="dxa"/>
              <w:right w:w="0" w:type="dxa"/>
            </w:tcMar>
            <w:vAlign w:val="center"/>
            <w:hideMark/>
          </w:tcPr>
          <w:p w14:paraId="379CEF3F" w14:textId="77777777" w:rsidR="002A1D51" w:rsidRPr="002A1D51" w:rsidRDefault="002A1D51" w:rsidP="002A1D51">
            <w:pPr>
              <w:spacing w:before="180" w:after="80" w:line="240" w:lineRule="auto"/>
              <w:jc w:val="center"/>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80" w:type="dxa"/>
              <w:left w:w="0" w:type="dxa"/>
              <w:bottom w:w="180" w:type="dxa"/>
              <w:right w:w="0" w:type="dxa"/>
            </w:tcMar>
            <w:vAlign w:val="center"/>
            <w:hideMark/>
          </w:tcPr>
          <w:p w14:paraId="1A930693" w14:textId="77777777" w:rsidR="002A1D51" w:rsidRPr="002A1D51" w:rsidRDefault="002A1D51" w:rsidP="002A1D51">
            <w:pPr>
              <w:spacing w:before="180" w:after="80" w:line="240" w:lineRule="auto"/>
              <w:jc w:val="center"/>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80" w:type="dxa"/>
              <w:left w:w="0" w:type="dxa"/>
              <w:bottom w:w="180" w:type="dxa"/>
              <w:right w:w="0" w:type="dxa"/>
            </w:tcMar>
            <w:vAlign w:val="center"/>
            <w:hideMark/>
          </w:tcPr>
          <w:p w14:paraId="15700235" w14:textId="77777777" w:rsidR="002A1D51" w:rsidRPr="002A1D51" w:rsidRDefault="002A1D51" w:rsidP="002A1D51">
            <w:pPr>
              <w:spacing w:after="80" w:line="270" w:lineRule="atLeast"/>
              <w:jc w:val="center"/>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1 or 2</w:t>
            </w:r>
          </w:p>
          <w:p w14:paraId="051165B4" w14:textId="77777777" w:rsidR="002A1D51" w:rsidRPr="002A1D51" w:rsidRDefault="002A1D51" w:rsidP="002A1D51">
            <w:pPr>
              <w:spacing w:after="80" w:line="270" w:lineRule="atLeast"/>
              <w:jc w:val="center"/>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(When requested by New Service Provider)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80" w:type="dxa"/>
              <w:left w:w="0" w:type="dxa"/>
              <w:bottom w:w="180" w:type="dxa"/>
              <w:right w:w="0" w:type="dxa"/>
            </w:tcMar>
            <w:vAlign w:val="center"/>
            <w:hideMark/>
          </w:tcPr>
          <w:p w14:paraId="07775195" w14:textId="77777777" w:rsidR="002A1D51" w:rsidRPr="002A1D51" w:rsidRDefault="002A1D51" w:rsidP="002A1D51">
            <w:pPr>
              <w:spacing w:after="80" w:line="240" w:lineRule="auto"/>
              <w:jc w:val="center"/>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2</w:t>
            </w:r>
          </w:p>
        </w:tc>
      </w:tr>
      <w:tr w:rsidR="002A1D51" w:rsidRPr="002A1D51" w14:paraId="1C87B9FB" w14:textId="77777777" w:rsidTr="002A1D51">
        <w:tc>
          <w:tcPr>
            <w:tcW w:w="0" w:type="auto"/>
            <w:tcBorders>
              <w:top w:val="single" w:sz="6" w:space="0" w:color="000000"/>
              <w:left w:val="single" w:sz="6" w:space="0" w:color="000000"/>
              <w:bottom w:val="single" w:sz="6" w:space="0" w:color="000000"/>
              <w:right w:val="single" w:sz="6" w:space="0" w:color="000000"/>
            </w:tcBorders>
            <w:shd w:val="clear" w:color="auto" w:fill="DDDDDD"/>
            <w:tcMar>
              <w:top w:w="180" w:type="dxa"/>
              <w:left w:w="0" w:type="dxa"/>
              <w:bottom w:w="180" w:type="dxa"/>
              <w:right w:w="0" w:type="dxa"/>
            </w:tcMar>
            <w:vAlign w:val="center"/>
            <w:hideMark/>
          </w:tcPr>
          <w:p w14:paraId="0C60501D" w14:textId="77777777" w:rsidR="002A1D51" w:rsidRPr="002A1D51" w:rsidRDefault="002A1D51" w:rsidP="002A1D51">
            <w:pPr>
              <w:spacing w:after="0" w:line="240" w:lineRule="auto"/>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Simple extended due date</w:t>
            </w:r>
          </w:p>
        </w:tc>
        <w:tc>
          <w:tcPr>
            <w:tcW w:w="0" w:type="auto"/>
            <w:tcBorders>
              <w:top w:val="single" w:sz="6" w:space="0" w:color="000000"/>
              <w:left w:val="single" w:sz="6" w:space="0" w:color="000000"/>
              <w:bottom w:val="single" w:sz="6" w:space="0" w:color="000000"/>
              <w:right w:val="single" w:sz="6" w:space="0" w:color="000000"/>
            </w:tcBorders>
            <w:shd w:val="clear" w:color="auto" w:fill="DDDDDD"/>
            <w:tcMar>
              <w:top w:w="180" w:type="dxa"/>
              <w:left w:w="0" w:type="dxa"/>
              <w:bottom w:w="180" w:type="dxa"/>
              <w:right w:w="0" w:type="dxa"/>
            </w:tcMar>
            <w:vAlign w:val="center"/>
            <w:hideMark/>
          </w:tcPr>
          <w:p w14:paraId="65EE1FAE" w14:textId="77777777" w:rsidR="002A1D51" w:rsidRPr="002A1D51" w:rsidRDefault="002A1D51" w:rsidP="002A1D51">
            <w:pPr>
              <w:spacing w:after="80" w:line="240" w:lineRule="auto"/>
              <w:jc w:val="center"/>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DDDDDD"/>
            <w:tcMar>
              <w:top w:w="180" w:type="dxa"/>
              <w:left w:w="0" w:type="dxa"/>
              <w:bottom w:w="180" w:type="dxa"/>
              <w:right w:w="0" w:type="dxa"/>
            </w:tcMar>
            <w:vAlign w:val="center"/>
            <w:hideMark/>
          </w:tcPr>
          <w:p w14:paraId="7B424A6C" w14:textId="77777777" w:rsidR="002A1D51" w:rsidRPr="002A1D51" w:rsidRDefault="002A1D51" w:rsidP="002A1D51">
            <w:pPr>
              <w:spacing w:after="80" w:line="240" w:lineRule="auto"/>
              <w:jc w:val="center"/>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24</w:t>
            </w:r>
          </w:p>
        </w:tc>
        <w:tc>
          <w:tcPr>
            <w:tcW w:w="0" w:type="auto"/>
            <w:tcBorders>
              <w:top w:val="single" w:sz="6" w:space="0" w:color="000000"/>
              <w:left w:val="single" w:sz="6" w:space="0" w:color="000000"/>
              <w:bottom w:val="single" w:sz="6" w:space="0" w:color="000000"/>
              <w:right w:val="single" w:sz="6" w:space="0" w:color="000000"/>
            </w:tcBorders>
            <w:shd w:val="clear" w:color="auto" w:fill="DDDDDD"/>
            <w:tcMar>
              <w:top w:w="180" w:type="dxa"/>
              <w:left w:w="0" w:type="dxa"/>
              <w:bottom w:w="180" w:type="dxa"/>
              <w:right w:w="0" w:type="dxa"/>
            </w:tcMar>
            <w:vAlign w:val="center"/>
            <w:hideMark/>
          </w:tcPr>
          <w:p w14:paraId="392E06DF" w14:textId="77777777" w:rsidR="002A1D51" w:rsidRPr="002A1D51" w:rsidRDefault="002A1D51" w:rsidP="002A1D51">
            <w:pPr>
              <w:spacing w:after="80" w:line="270" w:lineRule="atLeast"/>
              <w:jc w:val="center"/>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3</w:t>
            </w:r>
          </w:p>
          <w:p w14:paraId="35CA79BF" w14:textId="77777777" w:rsidR="002A1D51" w:rsidRPr="002A1D51" w:rsidRDefault="002A1D51" w:rsidP="002A1D51">
            <w:pPr>
              <w:spacing w:after="80" w:line="270" w:lineRule="atLeast"/>
              <w:jc w:val="center"/>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(When requested by New Service Provider)</w:t>
            </w:r>
          </w:p>
        </w:tc>
        <w:tc>
          <w:tcPr>
            <w:tcW w:w="0" w:type="auto"/>
            <w:tcBorders>
              <w:top w:val="single" w:sz="6" w:space="0" w:color="000000"/>
              <w:left w:val="single" w:sz="6" w:space="0" w:color="000000"/>
              <w:bottom w:val="single" w:sz="6" w:space="0" w:color="000000"/>
              <w:right w:val="single" w:sz="6" w:space="0" w:color="000000"/>
            </w:tcBorders>
            <w:shd w:val="clear" w:color="auto" w:fill="DDDDDD"/>
            <w:tcMar>
              <w:top w:w="180" w:type="dxa"/>
              <w:left w:w="0" w:type="dxa"/>
              <w:bottom w:w="180" w:type="dxa"/>
              <w:right w:w="0" w:type="dxa"/>
            </w:tcMar>
            <w:vAlign w:val="center"/>
            <w:hideMark/>
          </w:tcPr>
          <w:p w14:paraId="33AD5AF8" w14:textId="77777777" w:rsidR="002A1D51" w:rsidRPr="002A1D51" w:rsidRDefault="002A1D51" w:rsidP="002A1D51">
            <w:pPr>
              <w:spacing w:after="80" w:line="240" w:lineRule="auto"/>
              <w:jc w:val="center"/>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4</w:t>
            </w:r>
          </w:p>
        </w:tc>
      </w:tr>
      <w:tr w:rsidR="002A1D51" w:rsidRPr="002A1D51" w14:paraId="287184EE" w14:textId="77777777" w:rsidTr="002A1D51">
        <w:tc>
          <w:tcPr>
            <w:tcW w:w="0" w:type="auto"/>
            <w:tcBorders>
              <w:top w:val="single" w:sz="6" w:space="0" w:color="000000"/>
              <w:left w:val="single" w:sz="6" w:space="0" w:color="000000"/>
              <w:bottom w:val="single" w:sz="6" w:space="0" w:color="000000"/>
              <w:right w:val="single" w:sz="6" w:space="0" w:color="000000"/>
            </w:tcBorders>
            <w:shd w:val="clear" w:color="auto" w:fill="FFFFFF"/>
            <w:tcMar>
              <w:top w:w="180" w:type="dxa"/>
              <w:left w:w="0" w:type="dxa"/>
              <w:bottom w:w="180" w:type="dxa"/>
              <w:right w:w="0" w:type="dxa"/>
            </w:tcMar>
            <w:vAlign w:val="center"/>
            <w:hideMark/>
          </w:tcPr>
          <w:p w14:paraId="1DF69C84" w14:textId="77777777" w:rsidR="002A1D51" w:rsidRPr="002A1D51" w:rsidRDefault="002A1D51" w:rsidP="002A1D51">
            <w:pPr>
              <w:spacing w:after="0" w:line="240" w:lineRule="auto"/>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Non simple port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80" w:type="dxa"/>
              <w:left w:w="0" w:type="dxa"/>
              <w:bottom w:w="180" w:type="dxa"/>
              <w:right w:w="0" w:type="dxa"/>
            </w:tcMar>
            <w:vAlign w:val="center"/>
            <w:hideMark/>
          </w:tcPr>
          <w:p w14:paraId="18DF2EA0" w14:textId="77777777" w:rsidR="002A1D51" w:rsidRPr="002A1D51" w:rsidRDefault="002A1D51" w:rsidP="002A1D51">
            <w:pPr>
              <w:spacing w:after="80" w:line="240" w:lineRule="auto"/>
              <w:jc w:val="center"/>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1-50</w:t>
            </w:r>
            <w:r w:rsidRPr="002A1D51">
              <w:rPr>
                <w:rFonts w:ascii="avenir" w:eastAsia="Times New Roman" w:hAnsi="avenir" w:cs="Times New Roman"/>
                <w:color w:val="333333"/>
                <w:sz w:val="20"/>
                <w:szCs w:val="20"/>
              </w:rPr>
              <w:br/>
              <w:t>(Notes 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80" w:type="dxa"/>
              <w:left w:w="0" w:type="dxa"/>
              <w:bottom w:w="180" w:type="dxa"/>
              <w:right w:w="0" w:type="dxa"/>
            </w:tcMar>
            <w:vAlign w:val="center"/>
            <w:hideMark/>
          </w:tcPr>
          <w:p w14:paraId="450C6C38" w14:textId="511171D5" w:rsidR="002A1D51" w:rsidRPr="002A1D51" w:rsidRDefault="002A1D51" w:rsidP="002A1D51">
            <w:pPr>
              <w:spacing w:after="80" w:line="240" w:lineRule="auto"/>
              <w:jc w:val="center"/>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80" w:type="dxa"/>
              <w:left w:w="0" w:type="dxa"/>
              <w:bottom w:w="180" w:type="dxa"/>
              <w:right w:w="0" w:type="dxa"/>
            </w:tcMar>
            <w:vAlign w:val="center"/>
            <w:hideMark/>
          </w:tcPr>
          <w:p w14:paraId="08A06DC0" w14:textId="77777777" w:rsidR="002A1D51" w:rsidRPr="002A1D51" w:rsidRDefault="002A1D51" w:rsidP="002A1D51">
            <w:pPr>
              <w:spacing w:after="80" w:line="240" w:lineRule="auto"/>
              <w:jc w:val="center"/>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80" w:type="dxa"/>
              <w:left w:w="0" w:type="dxa"/>
              <w:bottom w:w="180" w:type="dxa"/>
              <w:right w:w="0" w:type="dxa"/>
            </w:tcMar>
            <w:vAlign w:val="center"/>
            <w:hideMark/>
          </w:tcPr>
          <w:p w14:paraId="0D9F0438" w14:textId="77777777" w:rsidR="002A1D51" w:rsidRPr="002A1D51" w:rsidRDefault="002A1D51" w:rsidP="002A1D51">
            <w:pPr>
              <w:spacing w:after="80" w:line="240" w:lineRule="auto"/>
              <w:jc w:val="center"/>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4</w:t>
            </w:r>
          </w:p>
        </w:tc>
      </w:tr>
      <w:tr w:rsidR="002A1D51" w:rsidRPr="002A1D51" w14:paraId="171CCE7B" w14:textId="77777777" w:rsidTr="002A1D51">
        <w:tc>
          <w:tcPr>
            <w:tcW w:w="0" w:type="auto"/>
            <w:tcBorders>
              <w:top w:val="single" w:sz="6" w:space="0" w:color="000000"/>
              <w:left w:val="single" w:sz="6" w:space="0" w:color="000000"/>
              <w:bottom w:val="single" w:sz="6" w:space="0" w:color="000000"/>
              <w:right w:val="single" w:sz="6" w:space="0" w:color="000000"/>
            </w:tcBorders>
            <w:shd w:val="clear" w:color="auto" w:fill="DDDDDD"/>
            <w:tcMar>
              <w:top w:w="180" w:type="dxa"/>
              <w:left w:w="0" w:type="dxa"/>
              <w:bottom w:w="180" w:type="dxa"/>
              <w:right w:w="0" w:type="dxa"/>
            </w:tcMar>
            <w:vAlign w:val="center"/>
            <w:hideMark/>
          </w:tcPr>
          <w:p w14:paraId="260554DC" w14:textId="77777777" w:rsidR="002A1D51" w:rsidRPr="002A1D51" w:rsidRDefault="002A1D51" w:rsidP="002A1D51">
            <w:pPr>
              <w:spacing w:after="0" w:line="240" w:lineRule="auto"/>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Project</w:t>
            </w:r>
          </w:p>
        </w:tc>
        <w:tc>
          <w:tcPr>
            <w:tcW w:w="0" w:type="auto"/>
            <w:tcBorders>
              <w:top w:val="single" w:sz="6" w:space="0" w:color="000000"/>
              <w:left w:val="single" w:sz="6" w:space="0" w:color="000000"/>
              <w:bottom w:val="single" w:sz="6" w:space="0" w:color="000000"/>
              <w:right w:val="single" w:sz="6" w:space="0" w:color="000000"/>
            </w:tcBorders>
            <w:shd w:val="clear" w:color="auto" w:fill="DDDDDD"/>
            <w:tcMar>
              <w:top w:w="180" w:type="dxa"/>
              <w:left w:w="0" w:type="dxa"/>
              <w:bottom w:w="180" w:type="dxa"/>
              <w:right w:w="0" w:type="dxa"/>
            </w:tcMar>
            <w:vAlign w:val="center"/>
            <w:hideMark/>
          </w:tcPr>
          <w:p w14:paraId="359550D1" w14:textId="77777777" w:rsidR="002A1D51" w:rsidRPr="002A1D51" w:rsidRDefault="002A1D51" w:rsidP="002A1D51">
            <w:pPr>
              <w:spacing w:after="80" w:line="240" w:lineRule="auto"/>
              <w:jc w:val="center"/>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51+</w:t>
            </w:r>
          </w:p>
        </w:tc>
        <w:tc>
          <w:tcPr>
            <w:tcW w:w="0" w:type="auto"/>
            <w:tcBorders>
              <w:top w:val="single" w:sz="6" w:space="0" w:color="000000"/>
              <w:left w:val="single" w:sz="6" w:space="0" w:color="000000"/>
              <w:bottom w:val="single" w:sz="6" w:space="0" w:color="000000"/>
              <w:right w:val="single" w:sz="6" w:space="0" w:color="000000"/>
            </w:tcBorders>
            <w:shd w:val="clear" w:color="auto" w:fill="DDDDDD"/>
            <w:tcMar>
              <w:top w:w="180" w:type="dxa"/>
              <w:left w:w="0" w:type="dxa"/>
              <w:bottom w:w="180" w:type="dxa"/>
              <w:right w:w="0" w:type="dxa"/>
            </w:tcMar>
            <w:vAlign w:val="center"/>
            <w:hideMark/>
          </w:tcPr>
          <w:p w14:paraId="3C4A340C" w14:textId="77777777" w:rsidR="002A1D51" w:rsidRPr="002A1D51" w:rsidRDefault="002A1D51" w:rsidP="002A1D51">
            <w:pPr>
              <w:spacing w:after="80" w:line="270" w:lineRule="atLeast"/>
              <w:jc w:val="center"/>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Negotiated by Involved Service Providers</w:t>
            </w:r>
          </w:p>
          <w:p w14:paraId="05BB8D33" w14:textId="77777777" w:rsidR="002A1D51" w:rsidRPr="002A1D51" w:rsidRDefault="002A1D51" w:rsidP="002A1D51">
            <w:pPr>
              <w:spacing w:after="80" w:line="270" w:lineRule="atLeast"/>
              <w:jc w:val="center"/>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(Note 5)</w:t>
            </w:r>
          </w:p>
        </w:tc>
        <w:tc>
          <w:tcPr>
            <w:tcW w:w="0" w:type="auto"/>
            <w:tcBorders>
              <w:top w:val="single" w:sz="6" w:space="0" w:color="000000"/>
              <w:left w:val="single" w:sz="6" w:space="0" w:color="000000"/>
              <w:bottom w:val="single" w:sz="6" w:space="0" w:color="000000"/>
              <w:right w:val="single" w:sz="6" w:space="0" w:color="000000"/>
            </w:tcBorders>
            <w:shd w:val="clear" w:color="auto" w:fill="DDDDDD"/>
            <w:tcMar>
              <w:top w:w="180" w:type="dxa"/>
              <w:left w:w="0" w:type="dxa"/>
              <w:bottom w:w="180" w:type="dxa"/>
              <w:right w:w="0" w:type="dxa"/>
            </w:tcMar>
            <w:vAlign w:val="center"/>
            <w:hideMark/>
          </w:tcPr>
          <w:p w14:paraId="07249308" w14:textId="77777777" w:rsidR="002A1D51" w:rsidRPr="002A1D51" w:rsidRDefault="002A1D51" w:rsidP="002A1D51">
            <w:pPr>
              <w:spacing w:after="80" w:line="270" w:lineRule="atLeast"/>
              <w:jc w:val="center"/>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Negotiated by Involved Service Providers</w:t>
            </w:r>
          </w:p>
          <w:p w14:paraId="2129418C" w14:textId="77777777" w:rsidR="002A1D51" w:rsidRPr="002A1D51" w:rsidRDefault="002A1D51" w:rsidP="002A1D51">
            <w:pPr>
              <w:spacing w:after="80" w:line="270" w:lineRule="atLeast"/>
              <w:jc w:val="center"/>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(Note 5)</w:t>
            </w:r>
          </w:p>
        </w:tc>
        <w:tc>
          <w:tcPr>
            <w:tcW w:w="0" w:type="auto"/>
            <w:tcBorders>
              <w:top w:val="single" w:sz="6" w:space="0" w:color="000000"/>
              <w:left w:val="single" w:sz="6" w:space="0" w:color="000000"/>
              <w:bottom w:val="single" w:sz="6" w:space="0" w:color="000000"/>
              <w:right w:val="single" w:sz="6" w:space="0" w:color="000000"/>
            </w:tcBorders>
            <w:shd w:val="clear" w:color="auto" w:fill="DDDDDD"/>
            <w:tcMar>
              <w:top w:w="180" w:type="dxa"/>
              <w:left w:w="0" w:type="dxa"/>
              <w:bottom w:w="180" w:type="dxa"/>
              <w:right w:w="0" w:type="dxa"/>
            </w:tcMar>
            <w:vAlign w:val="center"/>
            <w:hideMark/>
          </w:tcPr>
          <w:p w14:paraId="46C44EB5" w14:textId="77777777" w:rsidR="002A1D51" w:rsidRPr="002A1D51" w:rsidRDefault="002A1D51" w:rsidP="002A1D51">
            <w:pPr>
              <w:spacing w:after="80" w:line="270" w:lineRule="atLeast"/>
              <w:jc w:val="center"/>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Negotiated by Involved Service Providers</w:t>
            </w:r>
          </w:p>
          <w:p w14:paraId="740C4E17" w14:textId="77777777" w:rsidR="002A1D51" w:rsidRPr="002A1D51" w:rsidRDefault="002A1D51" w:rsidP="002A1D51">
            <w:pPr>
              <w:spacing w:after="80" w:line="270" w:lineRule="atLeast"/>
              <w:jc w:val="center"/>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(Note 5)</w:t>
            </w:r>
          </w:p>
        </w:tc>
      </w:tr>
    </w:tbl>
    <w:p w14:paraId="4729FD8E" w14:textId="77777777" w:rsidR="002A1D51" w:rsidRPr="002A1D51" w:rsidRDefault="002A1D51" w:rsidP="002A1D51">
      <w:pPr>
        <w:spacing w:after="195" w:line="270" w:lineRule="atLeast"/>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lastRenderedPageBreak/>
        <w:t>The following </w:t>
      </w:r>
      <w:r w:rsidRPr="002A1D51">
        <w:rPr>
          <w:rFonts w:ascii="avenir" w:eastAsia="Times New Roman" w:hAnsi="avenir" w:cs="Times New Roman"/>
          <w:b/>
          <w:bCs/>
          <w:color w:val="333333"/>
          <w:sz w:val="20"/>
          <w:szCs w:val="20"/>
        </w:rPr>
        <w:t>minimum</w:t>
      </w:r>
      <w:r w:rsidRPr="002A1D51">
        <w:rPr>
          <w:rFonts w:ascii="avenir" w:eastAsia="Times New Roman" w:hAnsi="avenir" w:cs="Times New Roman"/>
          <w:color w:val="333333"/>
          <w:sz w:val="20"/>
          <w:szCs w:val="20"/>
        </w:rPr>
        <w:t> thresholds shall apply for requested Customer Service Records (CSRs), when applicable.  These are also subject to applicable state guidelines and unless otherwise negotiated between the involved Service Providers.</w:t>
      </w:r>
    </w:p>
    <w:tbl>
      <w:tblPr>
        <w:tblW w:w="25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Thresholds"/>
      </w:tblPr>
      <w:tblGrid>
        <w:gridCol w:w="1505"/>
        <w:gridCol w:w="3167"/>
      </w:tblGrid>
      <w:tr w:rsidR="002A1D51" w:rsidRPr="002A1D51" w14:paraId="6720AAFF" w14:textId="77777777" w:rsidTr="002A1D51">
        <w:tc>
          <w:tcPr>
            <w:tcW w:w="0" w:type="auto"/>
            <w:tcBorders>
              <w:top w:val="outset" w:sz="6" w:space="0" w:color="auto"/>
              <w:left w:val="outset" w:sz="6" w:space="0" w:color="auto"/>
              <w:bottom w:val="single" w:sz="6" w:space="0" w:color="A6A6A6"/>
              <w:right w:val="outset" w:sz="6" w:space="0" w:color="auto"/>
            </w:tcBorders>
            <w:shd w:val="clear" w:color="auto" w:fill="666666"/>
            <w:tcMar>
              <w:top w:w="180" w:type="dxa"/>
              <w:left w:w="180" w:type="dxa"/>
              <w:bottom w:w="180" w:type="dxa"/>
              <w:right w:w="180" w:type="dxa"/>
            </w:tcMar>
            <w:vAlign w:val="bottom"/>
            <w:hideMark/>
          </w:tcPr>
          <w:p w14:paraId="30F10542" w14:textId="77777777" w:rsidR="002A1D51" w:rsidRPr="002A1D51" w:rsidRDefault="002A1D51" w:rsidP="002A1D51">
            <w:pPr>
              <w:spacing w:before="180" w:after="180" w:line="240" w:lineRule="auto"/>
              <w:rPr>
                <w:rFonts w:ascii="avenir" w:eastAsia="Times New Roman" w:hAnsi="avenir" w:cs="Times New Roman"/>
                <w:b/>
                <w:bCs/>
                <w:color w:val="FFFFFF"/>
                <w:sz w:val="20"/>
                <w:szCs w:val="20"/>
              </w:rPr>
            </w:pPr>
            <w:r w:rsidRPr="002A1D51">
              <w:rPr>
                <w:rFonts w:ascii="avenir" w:eastAsia="Times New Roman" w:hAnsi="avenir" w:cs="Times New Roman"/>
                <w:b/>
                <w:bCs/>
                <w:color w:val="FFFFFF"/>
                <w:sz w:val="20"/>
                <w:szCs w:val="20"/>
              </w:rPr>
              <w:t>QTY OF TNs ON CSR</w:t>
            </w:r>
          </w:p>
        </w:tc>
        <w:tc>
          <w:tcPr>
            <w:tcW w:w="0" w:type="auto"/>
            <w:tcBorders>
              <w:top w:val="outset" w:sz="6" w:space="0" w:color="auto"/>
              <w:left w:val="outset" w:sz="6" w:space="0" w:color="auto"/>
              <w:bottom w:val="single" w:sz="6" w:space="0" w:color="A6A6A6"/>
              <w:right w:val="outset" w:sz="6" w:space="0" w:color="auto"/>
            </w:tcBorders>
            <w:shd w:val="clear" w:color="auto" w:fill="666666"/>
            <w:tcMar>
              <w:top w:w="180" w:type="dxa"/>
              <w:left w:w="180" w:type="dxa"/>
              <w:bottom w:w="180" w:type="dxa"/>
              <w:right w:w="180" w:type="dxa"/>
            </w:tcMar>
            <w:vAlign w:val="bottom"/>
            <w:hideMark/>
          </w:tcPr>
          <w:p w14:paraId="29637232" w14:textId="77777777" w:rsidR="002A1D51" w:rsidRPr="002A1D51" w:rsidRDefault="002A1D51" w:rsidP="002A1D51">
            <w:pPr>
              <w:spacing w:before="180" w:after="180" w:line="240" w:lineRule="auto"/>
              <w:rPr>
                <w:rFonts w:ascii="avenir" w:eastAsia="Times New Roman" w:hAnsi="avenir" w:cs="Times New Roman"/>
                <w:b/>
                <w:bCs/>
                <w:color w:val="FFFFFF"/>
                <w:sz w:val="20"/>
                <w:szCs w:val="20"/>
              </w:rPr>
            </w:pPr>
            <w:r w:rsidRPr="002A1D51">
              <w:rPr>
                <w:rFonts w:ascii="avenir" w:eastAsia="Times New Roman" w:hAnsi="avenir" w:cs="Times New Roman"/>
                <w:b/>
                <w:bCs/>
                <w:color w:val="FFFFFF"/>
                <w:sz w:val="20"/>
                <w:szCs w:val="20"/>
              </w:rPr>
              <w:t>CSR RETURN INTERVAL (CLOCK HOURS – Note 1)</w:t>
            </w:r>
          </w:p>
        </w:tc>
      </w:tr>
      <w:tr w:rsidR="002A1D51" w:rsidRPr="002A1D51" w14:paraId="6FB09F85" w14:textId="77777777" w:rsidTr="002A1D51">
        <w:tc>
          <w:tcPr>
            <w:tcW w:w="0" w:type="auto"/>
            <w:tcBorders>
              <w:top w:val="single" w:sz="6" w:space="0" w:color="000000"/>
              <w:left w:val="single" w:sz="6" w:space="0" w:color="000000"/>
              <w:bottom w:val="single" w:sz="6" w:space="0" w:color="000000"/>
              <w:right w:val="single" w:sz="6" w:space="0" w:color="000000"/>
            </w:tcBorders>
            <w:shd w:val="clear" w:color="auto" w:fill="FFFFFF"/>
            <w:tcMar>
              <w:top w:w="180" w:type="dxa"/>
              <w:left w:w="0" w:type="dxa"/>
              <w:bottom w:w="180" w:type="dxa"/>
              <w:right w:w="0" w:type="dxa"/>
            </w:tcMar>
            <w:vAlign w:val="center"/>
            <w:hideMark/>
          </w:tcPr>
          <w:p w14:paraId="6B4CF9BC" w14:textId="77777777" w:rsidR="002A1D51" w:rsidRPr="002A1D51" w:rsidRDefault="002A1D51" w:rsidP="002A1D51">
            <w:pPr>
              <w:spacing w:before="180" w:after="180" w:line="240" w:lineRule="auto"/>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80" w:type="dxa"/>
              <w:left w:w="0" w:type="dxa"/>
              <w:bottom w:w="180" w:type="dxa"/>
              <w:right w:w="0" w:type="dxa"/>
            </w:tcMar>
            <w:vAlign w:val="center"/>
            <w:hideMark/>
          </w:tcPr>
          <w:p w14:paraId="0315A03B" w14:textId="77777777" w:rsidR="002A1D51" w:rsidRPr="002A1D51" w:rsidRDefault="002A1D51" w:rsidP="002A1D51">
            <w:pPr>
              <w:spacing w:before="180" w:after="180" w:line="240" w:lineRule="auto"/>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24 (Note 3)</w:t>
            </w:r>
          </w:p>
        </w:tc>
      </w:tr>
      <w:tr w:rsidR="002A1D51" w:rsidRPr="002A1D51" w14:paraId="6257537F" w14:textId="77777777" w:rsidTr="002A1D51">
        <w:tc>
          <w:tcPr>
            <w:tcW w:w="0" w:type="auto"/>
            <w:tcBorders>
              <w:top w:val="single" w:sz="6" w:space="0" w:color="000000"/>
              <w:left w:val="single" w:sz="6" w:space="0" w:color="000000"/>
              <w:bottom w:val="single" w:sz="6" w:space="0" w:color="000000"/>
              <w:right w:val="single" w:sz="6" w:space="0" w:color="000000"/>
            </w:tcBorders>
            <w:shd w:val="clear" w:color="auto" w:fill="DDDDDD"/>
            <w:tcMar>
              <w:top w:w="180" w:type="dxa"/>
              <w:left w:w="0" w:type="dxa"/>
              <w:bottom w:w="180" w:type="dxa"/>
              <w:right w:w="0" w:type="dxa"/>
            </w:tcMar>
            <w:vAlign w:val="center"/>
            <w:hideMark/>
          </w:tcPr>
          <w:p w14:paraId="65E491F9" w14:textId="77777777" w:rsidR="002A1D51" w:rsidRPr="002A1D51" w:rsidRDefault="002A1D51" w:rsidP="002A1D51">
            <w:pPr>
              <w:spacing w:before="180" w:after="180" w:line="240" w:lineRule="auto"/>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51-200</w:t>
            </w:r>
          </w:p>
        </w:tc>
        <w:tc>
          <w:tcPr>
            <w:tcW w:w="0" w:type="auto"/>
            <w:tcBorders>
              <w:top w:val="single" w:sz="6" w:space="0" w:color="000000"/>
              <w:left w:val="single" w:sz="6" w:space="0" w:color="000000"/>
              <w:bottom w:val="single" w:sz="6" w:space="0" w:color="000000"/>
              <w:right w:val="single" w:sz="6" w:space="0" w:color="000000"/>
            </w:tcBorders>
            <w:shd w:val="clear" w:color="auto" w:fill="DDDDDD"/>
            <w:tcMar>
              <w:top w:w="180" w:type="dxa"/>
              <w:left w:w="0" w:type="dxa"/>
              <w:bottom w:w="180" w:type="dxa"/>
              <w:right w:w="0" w:type="dxa"/>
            </w:tcMar>
            <w:vAlign w:val="center"/>
            <w:hideMark/>
          </w:tcPr>
          <w:p w14:paraId="0CC0FA84" w14:textId="77777777" w:rsidR="002A1D51" w:rsidRPr="002A1D51" w:rsidRDefault="002A1D51" w:rsidP="002A1D51">
            <w:pPr>
              <w:spacing w:before="180" w:after="180" w:line="240" w:lineRule="auto"/>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48 (Note 3)</w:t>
            </w:r>
          </w:p>
        </w:tc>
      </w:tr>
      <w:tr w:rsidR="002A1D51" w:rsidRPr="002A1D51" w14:paraId="7B2F0F2B" w14:textId="77777777" w:rsidTr="002A1D51">
        <w:tc>
          <w:tcPr>
            <w:tcW w:w="0" w:type="auto"/>
            <w:tcBorders>
              <w:top w:val="single" w:sz="6" w:space="0" w:color="000000"/>
              <w:left w:val="single" w:sz="6" w:space="0" w:color="000000"/>
              <w:bottom w:val="single" w:sz="6" w:space="0" w:color="000000"/>
              <w:right w:val="single" w:sz="6" w:space="0" w:color="000000"/>
            </w:tcBorders>
            <w:shd w:val="clear" w:color="auto" w:fill="FFFFFF"/>
            <w:tcMar>
              <w:top w:w="180" w:type="dxa"/>
              <w:left w:w="0" w:type="dxa"/>
              <w:bottom w:w="180" w:type="dxa"/>
              <w:right w:w="0" w:type="dxa"/>
            </w:tcMar>
            <w:vAlign w:val="center"/>
            <w:hideMark/>
          </w:tcPr>
          <w:p w14:paraId="4B2B1C28" w14:textId="77777777" w:rsidR="002A1D51" w:rsidRPr="002A1D51" w:rsidRDefault="002A1D51" w:rsidP="002A1D51">
            <w:pPr>
              <w:spacing w:before="180" w:after="180" w:line="240" w:lineRule="auto"/>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&gt;200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80" w:type="dxa"/>
              <w:left w:w="0" w:type="dxa"/>
              <w:bottom w:w="180" w:type="dxa"/>
              <w:right w:w="0" w:type="dxa"/>
            </w:tcMar>
            <w:vAlign w:val="center"/>
            <w:hideMark/>
          </w:tcPr>
          <w:p w14:paraId="4FE40F62" w14:textId="77777777" w:rsidR="002A1D51" w:rsidRPr="002A1D51" w:rsidRDefault="002A1D51" w:rsidP="002A1D51">
            <w:pPr>
              <w:spacing w:before="180" w:after="180" w:line="240" w:lineRule="auto"/>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72 (Note 3)</w:t>
            </w:r>
          </w:p>
        </w:tc>
      </w:tr>
    </w:tbl>
    <w:p w14:paraId="5765EC64" w14:textId="13F81785" w:rsidR="002A1D51" w:rsidRPr="002A1D51" w:rsidRDefault="002A1D51" w:rsidP="002A1D51">
      <w:pPr>
        <w:spacing w:after="195" w:line="270" w:lineRule="atLeast"/>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 xml:space="preserve">NOTE 1:  This Best Practice is not intended to imply or encourage Service Providers to lower their minimum thresholds if they currently support higher quantities of TNs that can be ported within the </w:t>
      </w:r>
      <w:r w:rsidR="005E3915" w:rsidRPr="002A1D51">
        <w:rPr>
          <w:rFonts w:ascii="avenir" w:eastAsia="Times New Roman" w:hAnsi="avenir" w:cs="Times New Roman"/>
          <w:color w:val="333333"/>
          <w:sz w:val="20"/>
          <w:szCs w:val="20"/>
        </w:rPr>
        <w:t>4-business</w:t>
      </w:r>
      <w:r w:rsidRPr="002A1D51">
        <w:rPr>
          <w:rFonts w:ascii="avenir" w:eastAsia="Times New Roman" w:hAnsi="avenir" w:cs="Times New Roman"/>
          <w:color w:val="333333"/>
          <w:sz w:val="20"/>
          <w:szCs w:val="20"/>
        </w:rPr>
        <w:t xml:space="preserve"> day non-simple porting interval, nor is it meant to encourage Service Providers to withhold issuing the FOC or CSR if they currently respond in a timeframe quicker than is outlined above.  It is only intended to require Service Providers to support a higher threshold of TNs if they currently only support less than the established thresholds described above.  Service Providers that currently support higher thresholds of TNs for non-simple ports are encouraged NOT to initiate changes to their systems and processes </w:t>
      </w:r>
      <w:proofErr w:type="gramStart"/>
      <w:r w:rsidRPr="002A1D51">
        <w:rPr>
          <w:rFonts w:ascii="avenir" w:eastAsia="Times New Roman" w:hAnsi="avenir" w:cs="Times New Roman"/>
          <w:color w:val="333333"/>
          <w:sz w:val="20"/>
          <w:szCs w:val="20"/>
        </w:rPr>
        <w:t>in order to</w:t>
      </w:r>
      <w:proofErr w:type="gramEnd"/>
      <w:r w:rsidRPr="002A1D51">
        <w:rPr>
          <w:rFonts w:ascii="avenir" w:eastAsia="Times New Roman" w:hAnsi="avenir" w:cs="Times New Roman"/>
          <w:color w:val="333333"/>
          <w:sz w:val="20"/>
          <w:szCs w:val="20"/>
        </w:rPr>
        <w:t xml:space="preserve"> lower them.</w:t>
      </w:r>
    </w:p>
    <w:p w14:paraId="7C2A9742" w14:textId="77777777" w:rsidR="002A1D51" w:rsidRPr="002A1D51" w:rsidRDefault="002A1D51" w:rsidP="002A1D51">
      <w:pPr>
        <w:spacing w:after="195" w:line="270" w:lineRule="atLeast"/>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NOTE 2</w:t>
      </w:r>
      <w:proofErr w:type="gramStart"/>
      <w:r w:rsidRPr="002A1D51">
        <w:rPr>
          <w:rFonts w:ascii="avenir" w:eastAsia="Times New Roman" w:hAnsi="avenir" w:cs="Times New Roman"/>
          <w:color w:val="333333"/>
          <w:sz w:val="20"/>
          <w:szCs w:val="20"/>
        </w:rPr>
        <w:t>:  Excluding</w:t>
      </w:r>
      <w:proofErr w:type="gramEnd"/>
      <w:r w:rsidRPr="002A1D51">
        <w:rPr>
          <w:rFonts w:ascii="avenir" w:eastAsia="Times New Roman" w:hAnsi="avenir" w:cs="Times New Roman"/>
          <w:color w:val="333333"/>
          <w:sz w:val="20"/>
          <w:szCs w:val="20"/>
        </w:rPr>
        <w:t xml:space="preserve"> weekends and Old Service Provider Company Holidays</w:t>
      </w:r>
    </w:p>
    <w:p w14:paraId="08F9C481" w14:textId="77777777" w:rsidR="002A1D51" w:rsidRPr="002A1D51" w:rsidRDefault="002A1D51" w:rsidP="002A1D51">
      <w:pPr>
        <w:spacing w:after="195" w:line="270" w:lineRule="atLeast"/>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NOTE 3</w:t>
      </w:r>
      <w:proofErr w:type="gramStart"/>
      <w:r w:rsidRPr="002A1D51">
        <w:rPr>
          <w:rFonts w:ascii="avenir" w:eastAsia="Times New Roman" w:hAnsi="avenir" w:cs="Times New Roman"/>
          <w:color w:val="333333"/>
          <w:sz w:val="20"/>
          <w:szCs w:val="20"/>
        </w:rPr>
        <w:t>:  One</w:t>
      </w:r>
      <w:proofErr w:type="gramEnd"/>
      <w:r w:rsidRPr="002A1D51">
        <w:rPr>
          <w:rFonts w:ascii="avenir" w:eastAsia="Times New Roman" w:hAnsi="avenir" w:cs="Times New Roman"/>
          <w:color w:val="333333"/>
          <w:sz w:val="20"/>
          <w:szCs w:val="20"/>
        </w:rPr>
        <w:t xml:space="preserve"> TN in this context would be an LSR for a Non-Simple port of a single TN, e.g., a port of a single TN from a multi-TN account.</w:t>
      </w:r>
    </w:p>
    <w:p w14:paraId="70F43059" w14:textId="2FAAF36D" w:rsidR="002A1D51" w:rsidRPr="002A1D51" w:rsidRDefault="002A1D51" w:rsidP="002A1D51">
      <w:pPr>
        <w:spacing w:after="195" w:line="270" w:lineRule="atLeast"/>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NOTE 4</w:t>
      </w:r>
      <w:proofErr w:type="gramStart"/>
      <w:r w:rsidRPr="002A1D51">
        <w:rPr>
          <w:rFonts w:ascii="avenir" w:eastAsia="Times New Roman" w:hAnsi="avenir" w:cs="Times New Roman"/>
          <w:color w:val="333333"/>
          <w:sz w:val="20"/>
          <w:szCs w:val="20"/>
        </w:rPr>
        <w:t>:  These</w:t>
      </w:r>
      <w:proofErr w:type="gramEnd"/>
      <w:r w:rsidRPr="002A1D51">
        <w:rPr>
          <w:rFonts w:ascii="avenir" w:eastAsia="Times New Roman" w:hAnsi="avenir" w:cs="Times New Roman"/>
          <w:color w:val="333333"/>
          <w:sz w:val="20"/>
          <w:szCs w:val="20"/>
        </w:rPr>
        <w:t xml:space="preserve"> CSR return times are subject to the New Service Provider selecting a delivery method that can meet these </w:t>
      </w:r>
      <w:r w:rsidR="005E3915" w:rsidRPr="002A1D51">
        <w:rPr>
          <w:rFonts w:ascii="avenir" w:eastAsia="Times New Roman" w:hAnsi="avenir" w:cs="Times New Roman"/>
          <w:color w:val="333333"/>
          <w:sz w:val="20"/>
          <w:szCs w:val="20"/>
        </w:rPr>
        <w:t>intervals if</w:t>
      </w:r>
      <w:r w:rsidRPr="002A1D51">
        <w:rPr>
          <w:rFonts w:ascii="avenir" w:eastAsia="Times New Roman" w:hAnsi="avenir" w:cs="Times New Roman"/>
          <w:color w:val="333333"/>
          <w:sz w:val="20"/>
          <w:szCs w:val="20"/>
        </w:rPr>
        <w:t xml:space="preserve"> the New Service Provider is given such options.</w:t>
      </w:r>
    </w:p>
    <w:p w14:paraId="62EFBBF8" w14:textId="77777777" w:rsidR="002A1D51" w:rsidRPr="002A1D51" w:rsidRDefault="002A1D51" w:rsidP="002A1D51">
      <w:pPr>
        <w:spacing w:after="195" w:line="270" w:lineRule="atLeast"/>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NOTE 5</w:t>
      </w:r>
      <w:proofErr w:type="gramStart"/>
      <w:r w:rsidRPr="002A1D51">
        <w:rPr>
          <w:rFonts w:ascii="avenir" w:eastAsia="Times New Roman" w:hAnsi="avenir" w:cs="Times New Roman"/>
          <w:color w:val="333333"/>
          <w:sz w:val="20"/>
          <w:szCs w:val="20"/>
        </w:rPr>
        <w:t>:  The</w:t>
      </w:r>
      <w:proofErr w:type="gramEnd"/>
      <w:r w:rsidRPr="002A1D51">
        <w:rPr>
          <w:rFonts w:ascii="avenir" w:eastAsia="Times New Roman" w:hAnsi="avenir" w:cs="Times New Roman"/>
          <w:color w:val="333333"/>
          <w:sz w:val="20"/>
          <w:szCs w:val="20"/>
        </w:rPr>
        <w:t xml:space="preserve"> intervals for TN counts of 1-50 above apply for multiple TN accounts when the entire account of TNs is being ported.  When partial accounts of complex services are being ported, e.g., MLHG, ISDN, DID, PRI, Centrex, etc., and the remaining block of TNs must be rebuilt by the porting out Service Provider, this will be considered a “project” subject to negotiation by the involved Service Providers per the intervals in Note 5.</w:t>
      </w:r>
    </w:p>
    <w:p w14:paraId="220AF9D4" w14:textId="77777777" w:rsidR="002A1D51" w:rsidRPr="002A1D51" w:rsidRDefault="002A1D51" w:rsidP="002A1D51">
      <w:pPr>
        <w:spacing w:after="195" w:line="270" w:lineRule="atLeast"/>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t>NOTE 6</w:t>
      </w:r>
      <w:proofErr w:type="gramStart"/>
      <w:r w:rsidRPr="002A1D51">
        <w:rPr>
          <w:rFonts w:ascii="avenir" w:eastAsia="Times New Roman" w:hAnsi="avenir" w:cs="Times New Roman"/>
          <w:color w:val="333333"/>
          <w:sz w:val="20"/>
          <w:szCs w:val="20"/>
        </w:rPr>
        <w:t>:  Upon</w:t>
      </w:r>
      <w:proofErr w:type="gramEnd"/>
      <w:r w:rsidRPr="002A1D51">
        <w:rPr>
          <w:rFonts w:ascii="avenir" w:eastAsia="Times New Roman" w:hAnsi="avenir" w:cs="Times New Roman"/>
          <w:color w:val="333333"/>
          <w:sz w:val="20"/>
          <w:szCs w:val="20"/>
        </w:rPr>
        <w:t xml:space="preserve"> request by the New Service Provider in the port, the Old Service Provider will supply the Project ID and completion date (port Due Date) of the entire project within 72 clock hours (see Note 1).  This information will be included on the LSR submitted by the New Service Provider.  Once the LSR is received by the Old Service Provider, the FOC must be returned to the New Service Provider within 72 clock hours (see Note 1).  The project completion date interval (port Due Date) will be no longer than 15 business days from receipt of the LSR unless otherwise requested by the New Service Provider or negotiated by the Old Service Provider. </w:t>
      </w:r>
    </w:p>
    <w:p w14:paraId="63D3B873" w14:textId="77777777" w:rsidR="00AE5198" w:rsidRPr="00AE5198" w:rsidRDefault="00AE5198" w:rsidP="00AE5198">
      <w:pPr>
        <w:spacing w:after="195" w:line="270" w:lineRule="atLeast"/>
        <w:rPr>
          <w:rFonts w:ascii="avenir" w:eastAsia="Times New Roman" w:hAnsi="avenir" w:cs="Times New Roman"/>
          <w:color w:val="333333"/>
          <w:sz w:val="20"/>
          <w:szCs w:val="20"/>
        </w:rPr>
      </w:pPr>
      <w:r w:rsidRPr="00AE5198">
        <w:rPr>
          <w:rFonts w:ascii="avenir" w:eastAsia="Times New Roman" w:hAnsi="avenir" w:cs="Times New Roman"/>
          <w:b/>
          <w:bCs/>
          <w:color w:val="333333"/>
          <w:sz w:val="20"/>
          <w:szCs w:val="20"/>
        </w:rPr>
        <w:t>Documentation Referenced:</w:t>
      </w:r>
      <w:r w:rsidRPr="00AE5198">
        <w:rPr>
          <w:rFonts w:ascii="avenir" w:eastAsia="Times New Roman" w:hAnsi="avenir" w:cs="Times New Roman"/>
          <w:color w:val="333333"/>
          <w:sz w:val="20"/>
          <w:szCs w:val="20"/>
        </w:rPr>
        <w:t> </w:t>
      </w:r>
    </w:p>
    <w:p w14:paraId="3C562379" w14:textId="378F3881" w:rsidR="00DD4759" w:rsidRDefault="002A1D51" w:rsidP="00447F93">
      <w:pPr>
        <w:numPr>
          <w:ilvl w:val="0"/>
          <w:numId w:val="2"/>
        </w:numPr>
        <w:spacing w:after="60" w:line="270" w:lineRule="atLeast"/>
        <w:ind w:left="300"/>
        <w:rPr>
          <w:rFonts w:ascii="avenir" w:eastAsia="Times New Roman" w:hAnsi="avenir" w:cs="Times New Roman"/>
          <w:color w:val="333333"/>
          <w:sz w:val="20"/>
          <w:szCs w:val="20"/>
        </w:rPr>
      </w:pPr>
      <w:r w:rsidRPr="002A1D51">
        <w:rPr>
          <w:rFonts w:ascii="avenir" w:eastAsia="Times New Roman" w:hAnsi="avenir" w:cs="Times New Roman"/>
          <w:color w:val="333333"/>
          <w:sz w:val="20"/>
          <w:szCs w:val="20"/>
        </w:rPr>
        <w:lastRenderedPageBreak/>
        <w:t>Chart 2 One Business Day: FCC09-41 LSR Submit/FOC Receipt and Prospective Due Date/Time Chart for Normal Business Week (no Holidays)</w:t>
      </w:r>
      <w:r w:rsidR="00DD4759">
        <w:rPr>
          <w:rFonts w:ascii="avenir" w:eastAsia="Times New Roman" w:hAnsi="avenir" w:cs="Times New Roman"/>
          <w:color w:val="333333"/>
          <w:sz w:val="20"/>
          <w:szCs w:val="20"/>
        </w:rPr>
        <w:t xml:space="preserve">.  This chart can be found in the </w:t>
      </w:r>
      <w:hyperlink r:id="rId8" w:history="1">
        <w:r w:rsidR="00DD4759" w:rsidRPr="00AB4B19">
          <w:rPr>
            <w:rStyle w:val="Hyperlink"/>
            <w:rFonts w:ascii="avenir" w:eastAsia="Times New Roman" w:hAnsi="avenir" w:cs="Times New Roman"/>
            <w:sz w:val="20"/>
            <w:szCs w:val="20"/>
          </w:rPr>
          <w:t>NANC Ops Flows Narrative V4.2.2</w:t>
        </w:r>
      </w:hyperlink>
      <w:r w:rsidR="00DD4759">
        <w:rPr>
          <w:rFonts w:ascii="avenir" w:eastAsia="Times New Roman" w:hAnsi="avenir" w:cs="Times New Roman"/>
          <w:color w:val="333333"/>
          <w:sz w:val="20"/>
          <w:szCs w:val="20"/>
        </w:rPr>
        <w:t xml:space="preserve"> in the </w:t>
      </w:r>
      <w:r w:rsidR="00DD4759" w:rsidRPr="00DD4759">
        <w:rPr>
          <w:rFonts w:ascii="avenir" w:eastAsia="Times New Roman" w:hAnsi="avenir" w:cs="Times New Roman"/>
          <w:color w:val="333333"/>
          <w:sz w:val="20"/>
          <w:szCs w:val="20"/>
        </w:rPr>
        <w:t>Wireline Simple Port LSR/FOC Process</w:t>
      </w:r>
      <w:r w:rsidR="00DD4759">
        <w:rPr>
          <w:rFonts w:ascii="avenir" w:eastAsia="Times New Roman" w:hAnsi="avenir" w:cs="Times New Roman"/>
          <w:color w:val="333333"/>
          <w:sz w:val="20"/>
          <w:szCs w:val="20"/>
        </w:rPr>
        <w:t xml:space="preserve"> section</w:t>
      </w:r>
      <w:r w:rsidR="00AB4B19">
        <w:rPr>
          <w:rFonts w:ascii="avenir" w:eastAsia="Times New Roman" w:hAnsi="avenir" w:cs="Times New Roman"/>
          <w:color w:val="333333"/>
          <w:sz w:val="20"/>
          <w:szCs w:val="20"/>
        </w:rPr>
        <w:t>.</w:t>
      </w:r>
    </w:p>
    <w:p w14:paraId="5EFE19AB" w14:textId="77777777" w:rsidR="00DD4759" w:rsidRPr="002A1D51" w:rsidRDefault="00DD4759" w:rsidP="00DD4759">
      <w:pPr>
        <w:spacing w:after="60" w:line="270" w:lineRule="atLeast"/>
        <w:ind w:left="-60"/>
        <w:rPr>
          <w:rFonts w:ascii="avenir" w:eastAsia="Times New Roman" w:hAnsi="avenir" w:cs="Times New Roman"/>
          <w:color w:val="333333"/>
          <w:sz w:val="20"/>
          <w:szCs w:val="20"/>
        </w:rPr>
      </w:pPr>
    </w:p>
    <w:bookmarkStart w:id="5" w:name="_MON_1814788923"/>
    <w:bookmarkEnd w:id="5"/>
    <w:p w14:paraId="49E6FFF2" w14:textId="7A516418" w:rsidR="007750CE" w:rsidRDefault="004432A9">
      <w:r>
        <w:object w:dxaOrig="1499" w:dyaOrig="981" w14:anchorId="1F79F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3pt" o:ole="">
            <v:imagedata r:id="rId9" o:title=""/>
          </v:shape>
          <o:OLEObject Type="Embed" ProgID="Word.Document.8" ShapeID="_x0000_i1025" DrawAspect="Icon" ObjectID="_1816001579" r:id="rId10">
            <o:FieldCodes>\s</o:FieldCodes>
          </o:OLEObject>
        </w:object>
      </w:r>
    </w:p>
    <w:sectPr w:rsidR="007750C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0BF13" w14:textId="77777777" w:rsidR="00AE5198" w:rsidRDefault="00AE5198" w:rsidP="00AE5198">
      <w:pPr>
        <w:spacing w:after="0" w:line="240" w:lineRule="auto"/>
      </w:pPr>
      <w:r>
        <w:separator/>
      </w:r>
    </w:p>
  </w:endnote>
  <w:endnote w:type="continuationSeparator" w:id="0">
    <w:p w14:paraId="58B8B11F" w14:textId="77777777" w:rsidR="00AE5198" w:rsidRDefault="00AE5198" w:rsidP="00AE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3D85A" w14:textId="77777777" w:rsidR="00AE5198" w:rsidRDefault="00AE5198" w:rsidP="00AE5198">
      <w:pPr>
        <w:spacing w:after="0" w:line="240" w:lineRule="auto"/>
      </w:pPr>
      <w:r>
        <w:separator/>
      </w:r>
    </w:p>
  </w:footnote>
  <w:footnote w:type="continuationSeparator" w:id="0">
    <w:p w14:paraId="69EC56C3" w14:textId="77777777" w:rsidR="00AE5198" w:rsidRDefault="00AE5198" w:rsidP="00AE5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60CFA" w14:textId="79AFFC07" w:rsidR="00AE5198" w:rsidRDefault="00AE5198">
    <w:pPr>
      <w:pStyle w:val="Header"/>
    </w:pPr>
    <w:r w:rsidRPr="00990F71">
      <w:rPr>
        <w:rFonts w:ascii="avenir" w:eastAsia="Times New Roman" w:hAnsi="avenir" w:cs="Times New Roman"/>
        <w:b/>
        <w:bCs/>
        <w:color w:val="333333"/>
        <w:sz w:val="32"/>
        <w:szCs w:val="28"/>
        <w:u w:val="single"/>
      </w:rPr>
      <w:t>Number Portability Best Practice</w:t>
    </w:r>
    <w:r w:rsidRPr="00990F71">
      <w:rPr>
        <w:rFonts w:ascii="avenir" w:eastAsia="Times New Roman" w:hAnsi="avenir" w:cs="Times New Roman"/>
        <w:b/>
        <w:bCs/>
        <w:color w:val="333333"/>
        <w:sz w:val="32"/>
        <w:szCs w:val="28"/>
      </w:rPr>
      <w:tab/>
    </w:r>
    <w:r>
      <w:rPr>
        <w:rFonts w:ascii="avenir" w:eastAsia="Times New Roman" w:hAnsi="avenir" w:cs="Times New Roman"/>
        <w:b/>
        <w:bCs/>
        <w:color w:val="333333"/>
        <w:sz w:val="32"/>
        <w:szCs w:val="28"/>
      </w:rPr>
      <w:tab/>
    </w:r>
    <w:r w:rsidRPr="00990F71">
      <w:rPr>
        <w:rFonts w:ascii="avenir" w:eastAsia="Times New Roman" w:hAnsi="avenir" w:cs="Times New Roman"/>
        <w:b/>
        <w:bCs/>
        <w:color w:val="333333"/>
        <w:sz w:val="32"/>
        <w:szCs w:val="28"/>
      </w:rPr>
      <w:t xml:space="preserve">BP# </w:t>
    </w:r>
    <w:r>
      <w:rPr>
        <w:rFonts w:ascii="avenir" w:eastAsia="Times New Roman" w:hAnsi="avenir" w:cs="Times New Roman"/>
        <w:b/>
        <w:bCs/>
        <w:color w:val="333333"/>
        <w:sz w:val="32"/>
        <w:szCs w:val="28"/>
      </w:rPr>
      <w:t>067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6A41"/>
    <w:multiLevelType w:val="multilevel"/>
    <w:tmpl w:val="31A6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75FBC"/>
    <w:multiLevelType w:val="multilevel"/>
    <w:tmpl w:val="0F1E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304140">
    <w:abstractNumId w:val="1"/>
  </w:num>
  <w:num w:numId="2" w16cid:durableId="715591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51"/>
    <w:rsid w:val="00056960"/>
    <w:rsid w:val="00162EA4"/>
    <w:rsid w:val="0018442B"/>
    <w:rsid w:val="002A1D51"/>
    <w:rsid w:val="00371FD6"/>
    <w:rsid w:val="003F48D1"/>
    <w:rsid w:val="00403625"/>
    <w:rsid w:val="004432A9"/>
    <w:rsid w:val="00447F93"/>
    <w:rsid w:val="00476680"/>
    <w:rsid w:val="005C6699"/>
    <w:rsid w:val="005E3915"/>
    <w:rsid w:val="005E7B83"/>
    <w:rsid w:val="005F24B4"/>
    <w:rsid w:val="006F39BE"/>
    <w:rsid w:val="00772B70"/>
    <w:rsid w:val="007750CE"/>
    <w:rsid w:val="008B044F"/>
    <w:rsid w:val="00924EE8"/>
    <w:rsid w:val="00957F27"/>
    <w:rsid w:val="009D024B"/>
    <w:rsid w:val="00AA71D6"/>
    <w:rsid w:val="00AB4B19"/>
    <w:rsid w:val="00AD11F5"/>
    <w:rsid w:val="00AE5198"/>
    <w:rsid w:val="00B00E77"/>
    <w:rsid w:val="00B729A6"/>
    <w:rsid w:val="00C17164"/>
    <w:rsid w:val="00C2743F"/>
    <w:rsid w:val="00C472C4"/>
    <w:rsid w:val="00C54F6F"/>
    <w:rsid w:val="00D52D32"/>
    <w:rsid w:val="00DC2629"/>
    <w:rsid w:val="00DD4759"/>
    <w:rsid w:val="00F93307"/>
    <w:rsid w:val="00FB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ED9DEB"/>
  <w15:chartTrackingRefBased/>
  <w15:docId w15:val="{2F8394E6-0434-4520-82C7-791B1600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A1D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2A1D5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1D5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2A1D5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A1D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1D51"/>
    <w:rPr>
      <w:color w:val="0000FF"/>
      <w:u w:val="single"/>
    </w:rPr>
  </w:style>
  <w:style w:type="paragraph" w:styleId="Header">
    <w:name w:val="header"/>
    <w:basedOn w:val="Normal"/>
    <w:link w:val="HeaderChar"/>
    <w:uiPriority w:val="99"/>
    <w:unhideWhenUsed/>
    <w:rsid w:val="00AE5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198"/>
  </w:style>
  <w:style w:type="paragraph" w:styleId="Footer">
    <w:name w:val="footer"/>
    <w:basedOn w:val="Normal"/>
    <w:link w:val="FooterChar"/>
    <w:uiPriority w:val="99"/>
    <w:unhideWhenUsed/>
    <w:rsid w:val="00AE5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198"/>
  </w:style>
  <w:style w:type="paragraph" w:styleId="Revision">
    <w:name w:val="Revision"/>
    <w:hidden/>
    <w:uiPriority w:val="99"/>
    <w:semiHidden/>
    <w:rsid w:val="00AE5198"/>
    <w:pPr>
      <w:spacing w:after="0" w:line="240" w:lineRule="auto"/>
    </w:pPr>
  </w:style>
  <w:style w:type="paragraph" w:styleId="ListParagraph">
    <w:name w:val="List Paragraph"/>
    <w:basedOn w:val="Normal"/>
    <w:uiPriority w:val="34"/>
    <w:qFormat/>
    <w:rsid w:val="00AE5198"/>
    <w:pPr>
      <w:ind w:left="720"/>
      <w:contextualSpacing/>
    </w:pPr>
  </w:style>
  <w:style w:type="character" w:styleId="UnresolvedMention">
    <w:name w:val="Unresolved Mention"/>
    <w:basedOn w:val="DefaultParagraphFont"/>
    <w:uiPriority w:val="99"/>
    <w:semiHidden/>
    <w:unhideWhenUsed/>
    <w:rsid w:val="00DD4759"/>
    <w:rPr>
      <w:color w:val="605E5C"/>
      <w:shd w:val="clear" w:color="auto" w:fill="E1DFDD"/>
    </w:rPr>
  </w:style>
  <w:style w:type="character" w:styleId="FollowedHyperlink">
    <w:name w:val="FollowedHyperlink"/>
    <w:basedOn w:val="DefaultParagraphFont"/>
    <w:uiPriority w:val="99"/>
    <w:semiHidden/>
    <w:unhideWhenUsed/>
    <w:rsid w:val="00AB4B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878577">
      <w:bodyDiv w:val="1"/>
      <w:marLeft w:val="0"/>
      <w:marRight w:val="0"/>
      <w:marTop w:val="0"/>
      <w:marBottom w:val="0"/>
      <w:divBdr>
        <w:top w:val="none" w:sz="0" w:space="0" w:color="auto"/>
        <w:left w:val="none" w:sz="0" w:space="0" w:color="auto"/>
        <w:bottom w:val="none" w:sz="0" w:space="0" w:color="auto"/>
        <w:right w:val="none" w:sz="0" w:space="0" w:color="auto"/>
      </w:divBdr>
      <w:divsChild>
        <w:div w:id="267853309">
          <w:marLeft w:val="0"/>
          <w:marRight w:val="0"/>
          <w:marTop w:val="0"/>
          <w:marBottom w:val="0"/>
          <w:divBdr>
            <w:top w:val="none" w:sz="0" w:space="0" w:color="auto"/>
            <w:left w:val="none" w:sz="0" w:space="0" w:color="auto"/>
            <w:bottom w:val="none" w:sz="0" w:space="0" w:color="auto"/>
            <w:right w:val="none" w:sz="0" w:space="0" w:color="auto"/>
          </w:divBdr>
        </w:div>
        <w:div w:id="1963339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inggroup.numberportability.com/sites/workinggroup/files/2022-09/NANC_OPS_Flows_Narratives_v4.2.2-_11-13-2015_--_redlines_accepted_2_Da8oTw9.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1D9FE-5B81-49A7-B590-078EB640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Sahota, Tanvir</dc:creator>
  <cp:keywords/>
  <dc:description/>
  <cp:lastModifiedBy>Doherty, Michael</cp:lastModifiedBy>
  <cp:revision>3</cp:revision>
  <dcterms:created xsi:type="dcterms:W3CDTF">2025-08-06T20:03:00Z</dcterms:created>
  <dcterms:modified xsi:type="dcterms:W3CDTF">2025-08-06T20:04:00Z</dcterms:modified>
</cp:coreProperties>
</file>