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D06C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24038E83" w14:textId="77777777" w:rsidR="00281F67" w:rsidRDefault="00281F67">
      <w:pPr>
        <w:rPr>
          <w:sz w:val="24"/>
        </w:rPr>
      </w:pPr>
    </w:p>
    <w:p w14:paraId="377EF1CF" w14:textId="77777777" w:rsidR="00281F67" w:rsidRDefault="00281F67">
      <w:pPr>
        <w:rPr>
          <w:sz w:val="24"/>
        </w:rPr>
      </w:pPr>
    </w:p>
    <w:p w14:paraId="1C0F7136" w14:textId="51AE0BC9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(mm/dd/yyyy):</w:t>
      </w:r>
      <w:r w:rsidR="005C7BEB">
        <w:rPr>
          <w:sz w:val="24"/>
        </w:rPr>
        <w:t xml:space="preserve"> </w:t>
      </w:r>
      <w:r w:rsidR="00C50492">
        <w:rPr>
          <w:sz w:val="24"/>
        </w:rPr>
        <w:t>01/08/2025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751428">
        <w:rPr>
          <w:b/>
          <w:sz w:val="24"/>
        </w:rPr>
        <w:t xml:space="preserve"> </w:t>
      </w:r>
      <w:r w:rsidR="00C50492">
        <w:rPr>
          <w:b/>
          <w:sz w:val="24"/>
        </w:rPr>
        <w:t>158</w:t>
      </w:r>
      <w:r w:rsidR="00E22E6E">
        <w:rPr>
          <w:b/>
          <w:sz w:val="24"/>
        </w:rPr>
        <w:t xml:space="preserve"> v</w:t>
      </w:r>
      <w:r w:rsidR="005A7CA5">
        <w:rPr>
          <w:b/>
          <w:sz w:val="24"/>
        </w:rPr>
        <w:t>3</w:t>
      </w:r>
    </w:p>
    <w:p w14:paraId="1776E462" w14:textId="6955EE7D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CB05BC">
        <w:rPr>
          <w:sz w:val="24"/>
        </w:rPr>
        <w:t>AT&amp;T</w:t>
      </w:r>
    </w:p>
    <w:p w14:paraId="47244D2E" w14:textId="027119C2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CB05BC">
        <w:rPr>
          <w:sz w:val="24"/>
        </w:rPr>
        <w:t>Renee Dillon</w:t>
      </w:r>
    </w:p>
    <w:p w14:paraId="56B1C5C9" w14:textId="52A7B6BB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2E0F8D">
        <w:rPr>
          <w:sz w:val="24"/>
        </w:rPr>
        <w:t>206-375-6947</w:t>
      </w:r>
    </w:p>
    <w:p w14:paraId="7CFD9552" w14:textId="4E8551AB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hyperlink r:id="rId7" w:history="1">
        <w:r w:rsidR="002E0F8D" w:rsidRPr="00911C8B">
          <w:rPr>
            <w:rStyle w:val="Hyperlink"/>
            <w:bCs/>
            <w:sz w:val="24"/>
          </w:rPr>
          <w:t>rd9317@att.com</w:t>
        </w:r>
      </w:hyperlink>
      <w:r w:rsidR="00751428">
        <w:rPr>
          <w:b/>
          <w:sz w:val="24"/>
        </w:rPr>
        <w:t xml:space="preserve"> </w:t>
      </w:r>
      <w:r>
        <w:rPr>
          <w:sz w:val="24"/>
        </w:rPr>
        <w:t xml:space="preserve">   </w:t>
      </w:r>
    </w:p>
    <w:p w14:paraId="27565ACF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36E67FF5" w14:textId="77777777" w:rsidR="00281F67" w:rsidRDefault="00281F67">
      <w:pPr>
        <w:rPr>
          <w:sz w:val="24"/>
          <w:u w:val="single"/>
        </w:rPr>
      </w:pPr>
    </w:p>
    <w:p w14:paraId="43C79BCB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BB080A7" w14:textId="77777777" w:rsidR="00A04B52" w:rsidRPr="005511C4" w:rsidRDefault="00A04B52" w:rsidP="00A04B52">
      <w:pPr>
        <w:ind w:left="360"/>
      </w:pPr>
    </w:p>
    <w:p w14:paraId="57F101BD" w14:textId="2F03C403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Currently,</w:t>
      </w:r>
      <w:r w:rsidR="00E0121E">
        <w:rPr>
          <w:sz w:val="20"/>
        </w:rPr>
        <w:t xml:space="preserve"> pseudo-LRN (LRN = 000-000-0000)</w:t>
      </w:r>
      <w:r w:rsidR="0089588D">
        <w:rPr>
          <w:sz w:val="20"/>
        </w:rPr>
        <w:t>,</w:t>
      </w:r>
      <w:r w:rsidR="00426362">
        <w:rPr>
          <w:sz w:val="20"/>
        </w:rPr>
        <w:t xml:space="preserve"> aka pLRN</w:t>
      </w:r>
      <w:r w:rsidR="0089588D">
        <w:rPr>
          <w:sz w:val="20"/>
        </w:rPr>
        <w:t>,</w:t>
      </w:r>
      <w:r w:rsidR="00E0121E">
        <w:rPr>
          <w:sz w:val="20"/>
        </w:rPr>
        <w:t xml:space="preserve"> </w:t>
      </w:r>
      <w:r w:rsidR="002E0F8D">
        <w:rPr>
          <w:sz w:val="20"/>
        </w:rPr>
        <w:t xml:space="preserve">SVs </w:t>
      </w:r>
      <w:r w:rsidR="00E0121E">
        <w:rPr>
          <w:sz w:val="20"/>
        </w:rPr>
        <w:t>are migrated w</w:t>
      </w:r>
      <w:r w:rsidR="00D3470A">
        <w:rPr>
          <w:sz w:val="20"/>
        </w:rPr>
        <w:t>ith</w:t>
      </w:r>
      <w:r w:rsidR="00E0121E">
        <w:rPr>
          <w:sz w:val="20"/>
        </w:rPr>
        <w:t xml:space="preserve"> the NPA-NXX </w:t>
      </w:r>
      <w:r w:rsidR="00D3470A">
        <w:rPr>
          <w:sz w:val="20"/>
        </w:rPr>
        <w:t>to the To SPID in a SPID Migration, regardless of NPBs</w:t>
      </w:r>
      <w:r w:rsidR="00290AA2">
        <w:rPr>
          <w:sz w:val="20"/>
        </w:rPr>
        <w:t xml:space="preserve"> that remain with the From SPID (</w:t>
      </w:r>
      <w:r w:rsidR="00852EFD">
        <w:rPr>
          <w:sz w:val="20"/>
        </w:rPr>
        <w:t xml:space="preserve">or any SPID holding NPBs in the code). </w:t>
      </w:r>
      <w:r w:rsidR="009B32EC">
        <w:rPr>
          <w:sz w:val="20"/>
        </w:rPr>
        <w:t xml:space="preserve">This leads to </w:t>
      </w:r>
      <w:r w:rsidR="0016096D">
        <w:rPr>
          <w:sz w:val="20"/>
        </w:rPr>
        <w:t xml:space="preserve">undesired consequences such as transfer of </w:t>
      </w:r>
      <w:r w:rsidR="006A4D48">
        <w:rPr>
          <w:sz w:val="20"/>
        </w:rPr>
        <w:t>inventory and ‘invisible’ contaminants</w:t>
      </w:r>
      <w:r w:rsidR="00426362">
        <w:rPr>
          <w:sz w:val="20"/>
        </w:rPr>
        <w:t>.</w:t>
      </w:r>
    </w:p>
    <w:p w14:paraId="270BFC99" w14:textId="77777777" w:rsidR="00E116B6" w:rsidRDefault="00E116B6" w:rsidP="005B655C">
      <w:pPr>
        <w:pStyle w:val="BodyText2"/>
        <w:rPr>
          <w:sz w:val="20"/>
        </w:rPr>
      </w:pPr>
    </w:p>
    <w:p w14:paraId="11E62F02" w14:textId="77777777" w:rsidR="00281F67" w:rsidRDefault="00281F67">
      <w:pPr>
        <w:rPr>
          <w:sz w:val="24"/>
        </w:rPr>
      </w:pPr>
    </w:p>
    <w:p w14:paraId="46A626C2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29C1CE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2FFCFA2B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4A2DC3D2" w14:textId="71BBC2A3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During a SPID Migration, the active-like SVs </w:t>
      </w:r>
      <w:r w:rsidR="00426362">
        <w:rPr>
          <w:sz w:val="20"/>
        </w:rPr>
        <w:t>include</w:t>
      </w:r>
      <w:r w:rsidR="0089588D">
        <w:rPr>
          <w:sz w:val="20"/>
        </w:rPr>
        <w:t xml:space="preserve"> both</w:t>
      </w:r>
      <w:r>
        <w:rPr>
          <w:sz w:val="20"/>
        </w:rPr>
        <w:t xml:space="preserve"> regular non-pseudo-LRN (LRN</w:t>
      </w:r>
      <w:r w:rsidR="00C37373">
        <w:rPr>
          <w:sz w:val="20"/>
        </w:rPr>
        <w:t xml:space="preserve"> ≠</w:t>
      </w:r>
      <w:r>
        <w:rPr>
          <w:sz w:val="20"/>
        </w:rPr>
        <w:t xml:space="preserve"> 000-000-0000</w:t>
      </w:r>
      <w:r w:rsidR="006657BB">
        <w:rPr>
          <w:sz w:val="20"/>
        </w:rPr>
        <w:t xml:space="preserve"> i.e. Network routing LRN</w:t>
      </w:r>
      <w:r>
        <w:rPr>
          <w:sz w:val="20"/>
        </w:rPr>
        <w:t>)</w:t>
      </w:r>
      <w:r w:rsidR="0089588D">
        <w:rPr>
          <w:sz w:val="20"/>
        </w:rPr>
        <w:t xml:space="preserve"> and </w:t>
      </w:r>
      <w:r w:rsidR="00A05A29">
        <w:rPr>
          <w:sz w:val="20"/>
        </w:rPr>
        <w:t xml:space="preserve">pLRN (LRN = 000-000-0000). The </w:t>
      </w:r>
      <w:r w:rsidR="006657BB">
        <w:rPr>
          <w:sz w:val="20"/>
        </w:rPr>
        <w:t>Network routing LRN</w:t>
      </w:r>
      <w:r w:rsidR="008879EB">
        <w:rPr>
          <w:sz w:val="20"/>
        </w:rPr>
        <w:t xml:space="preserve"> SVs</w:t>
      </w:r>
      <w:r>
        <w:rPr>
          <w:sz w:val="20"/>
        </w:rPr>
        <w:t xml:space="preserve"> are</w:t>
      </w:r>
      <w:r w:rsidR="002F3820">
        <w:rPr>
          <w:sz w:val="20"/>
        </w:rPr>
        <w:t xml:space="preserve">, by default, not </w:t>
      </w:r>
      <w:r>
        <w:rPr>
          <w:sz w:val="20"/>
        </w:rPr>
        <w:t>migrated if they</w:t>
      </w:r>
      <w:r w:rsidR="002F3820">
        <w:rPr>
          <w:sz w:val="20"/>
        </w:rPr>
        <w:t xml:space="preserve"> </w:t>
      </w:r>
      <w:r w:rsidR="00FE0E3E">
        <w:rPr>
          <w:sz w:val="20"/>
        </w:rPr>
        <w:t xml:space="preserve">exclude, i.e. do NOT </w:t>
      </w:r>
      <w:r>
        <w:rPr>
          <w:sz w:val="20"/>
        </w:rPr>
        <w:t>contain</w:t>
      </w:r>
      <w:r w:rsidR="00FE0E3E">
        <w:rPr>
          <w:sz w:val="20"/>
        </w:rPr>
        <w:t>,</w:t>
      </w:r>
      <w:r>
        <w:rPr>
          <w:sz w:val="20"/>
        </w:rPr>
        <w:t xml:space="preserve"> an LRN specified in the LRN SIC-SMURF file</w:t>
      </w:r>
      <w:r w:rsidR="00254782">
        <w:rPr>
          <w:sz w:val="20"/>
        </w:rPr>
        <w:t xml:space="preserve">, but </w:t>
      </w:r>
      <w:r w:rsidR="000C0892">
        <w:rPr>
          <w:sz w:val="20"/>
        </w:rPr>
        <w:t xml:space="preserve">the pLRN SVs </w:t>
      </w:r>
      <w:r w:rsidR="00254782">
        <w:rPr>
          <w:sz w:val="20"/>
        </w:rPr>
        <w:t xml:space="preserve">are migrated </w:t>
      </w:r>
      <w:r w:rsidR="000C0892">
        <w:rPr>
          <w:sz w:val="20"/>
        </w:rPr>
        <w:t>since</w:t>
      </w:r>
      <w:r w:rsidR="00254782">
        <w:rPr>
          <w:sz w:val="20"/>
        </w:rPr>
        <w:t xml:space="preserve"> the </w:t>
      </w:r>
      <w:r w:rsidR="000C0892">
        <w:rPr>
          <w:sz w:val="20"/>
        </w:rPr>
        <w:t xml:space="preserve">pLRN </w:t>
      </w:r>
      <w:r w:rsidR="002F3820">
        <w:rPr>
          <w:sz w:val="20"/>
        </w:rPr>
        <w:t>isn</w:t>
      </w:r>
      <w:r w:rsidR="00787A40">
        <w:rPr>
          <w:sz w:val="20"/>
        </w:rPr>
        <w:t>’t</w:t>
      </w:r>
      <w:r w:rsidR="002F3820">
        <w:rPr>
          <w:sz w:val="20"/>
        </w:rPr>
        <w:t>/can’t?</w:t>
      </w:r>
      <w:r w:rsidR="00787A40">
        <w:rPr>
          <w:sz w:val="20"/>
        </w:rPr>
        <w:t xml:space="preserve"> be</w:t>
      </w:r>
      <w:r w:rsidR="009D790B">
        <w:rPr>
          <w:sz w:val="20"/>
        </w:rPr>
        <w:t xml:space="preserve"> </w:t>
      </w:r>
      <w:r w:rsidR="000C0892">
        <w:rPr>
          <w:sz w:val="20"/>
        </w:rPr>
        <w:t xml:space="preserve">specified </w:t>
      </w:r>
      <w:r w:rsidR="009D790B">
        <w:rPr>
          <w:sz w:val="20"/>
        </w:rPr>
        <w:t>in the file</w:t>
      </w:r>
      <w:r>
        <w:rPr>
          <w:sz w:val="20"/>
        </w:rPr>
        <w:t>. The LRNs in the LRN SIC-SMURF file must be owned by the From SPID in the SPID Migration</w:t>
      </w:r>
      <w:r w:rsidR="002F3820">
        <w:rPr>
          <w:sz w:val="20"/>
        </w:rPr>
        <w:t xml:space="preserve"> but, by default of the nature of the pLRN, this LRN cannot be specified</w:t>
      </w:r>
      <w:r>
        <w:rPr>
          <w:sz w:val="20"/>
        </w:rPr>
        <w:t>.</w:t>
      </w:r>
      <w:r w:rsidR="009D790B">
        <w:rPr>
          <w:sz w:val="20"/>
        </w:rPr>
        <w:t xml:space="preserve"> </w:t>
      </w:r>
      <w:r w:rsidR="002F3820">
        <w:rPr>
          <w:sz w:val="20"/>
        </w:rPr>
        <w:t>While there are a</w:t>
      </w:r>
      <w:r w:rsidR="009D790B">
        <w:rPr>
          <w:sz w:val="20"/>
        </w:rPr>
        <w:t xml:space="preserve">dditional </w:t>
      </w:r>
      <w:r w:rsidR="002F3820">
        <w:rPr>
          <w:sz w:val="20"/>
        </w:rPr>
        <w:t>c</w:t>
      </w:r>
      <w:r>
        <w:rPr>
          <w:sz w:val="20"/>
        </w:rPr>
        <w:t>onsistency checks</w:t>
      </w:r>
      <w:r w:rsidR="009D790B">
        <w:rPr>
          <w:sz w:val="20"/>
        </w:rPr>
        <w:t xml:space="preserve"> </w:t>
      </w:r>
      <w:r>
        <w:rPr>
          <w:sz w:val="20"/>
        </w:rPr>
        <w:t xml:space="preserve">also </w:t>
      </w:r>
      <w:r w:rsidR="009D790B">
        <w:rPr>
          <w:sz w:val="20"/>
        </w:rPr>
        <w:t>performed</w:t>
      </w:r>
      <w:r w:rsidR="002F3820">
        <w:rPr>
          <w:sz w:val="20"/>
        </w:rPr>
        <w:t xml:space="preserve">, there are no specific process instructions to properly perform such checks on pLRN SVs by Service Providers or the LNPA. </w:t>
      </w:r>
    </w:p>
    <w:p w14:paraId="58BE2096" w14:textId="77777777" w:rsidR="00F024C3" w:rsidRDefault="00F024C3" w:rsidP="00F024C3">
      <w:pPr>
        <w:pStyle w:val="BodyText2"/>
        <w:rPr>
          <w:sz w:val="20"/>
        </w:rPr>
      </w:pPr>
    </w:p>
    <w:p w14:paraId="10F4F768" w14:textId="057F6800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Migration of SVs, with the From SPID as the current service provider and having a pseudo-LRN, however, occurs when the NPA-NXX of the SV or NPB has been specified in the NPA-NXX SIC-SMURF file. The</w:t>
      </w:r>
      <w:r w:rsidR="00306A4B">
        <w:rPr>
          <w:sz w:val="20"/>
        </w:rPr>
        <w:t xml:space="preserve"> current</w:t>
      </w:r>
      <w:r w:rsidR="00FE0E3E">
        <w:rPr>
          <w:sz w:val="20"/>
        </w:rPr>
        <w:t xml:space="preserve">, but IMO incorrect or possibly not well understood, </w:t>
      </w:r>
      <w:r w:rsidR="00306A4B">
        <w:rPr>
          <w:sz w:val="20"/>
        </w:rPr>
        <w:t>assumption</w:t>
      </w:r>
      <w:r>
        <w:rPr>
          <w:sz w:val="20"/>
        </w:rPr>
        <w:t xml:space="preserve"> behind this functionality is that the New SP of the pseudo-LRN SVs must be</w:t>
      </w:r>
      <w:r w:rsidR="00B329FE">
        <w:rPr>
          <w:sz w:val="20"/>
        </w:rPr>
        <w:t>long to</w:t>
      </w:r>
      <w:r>
        <w:rPr>
          <w:sz w:val="20"/>
        </w:rPr>
        <w:t xml:space="preserve"> the code holder (i.e., owner of the Portable NPA-NXX), and that Pseudo-LRNs are not included in the LRN data owned by a service provider in the industry network data model defined in the FRS and </w:t>
      </w:r>
      <w:r w:rsidR="00FE0E3E" w:rsidRPr="00FE0E3E">
        <w:rPr>
          <w:i/>
          <w:iCs/>
          <w:sz w:val="20"/>
        </w:rPr>
        <w:t>would</w:t>
      </w:r>
      <w:r w:rsidRPr="00FE0E3E">
        <w:rPr>
          <w:i/>
          <w:iCs/>
          <w:sz w:val="20"/>
        </w:rPr>
        <w:t xml:space="preserve"> not</w:t>
      </w:r>
      <w:r>
        <w:rPr>
          <w:sz w:val="20"/>
        </w:rPr>
        <w:t xml:space="preserve"> appear in the LRN SIC-SMURF file as an LRN to migrate.</w:t>
      </w:r>
    </w:p>
    <w:p w14:paraId="0EA1AE8E" w14:textId="77777777" w:rsidR="00113E10" w:rsidRDefault="00113E10" w:rsidP="00F024C3">
      <w:pPr>
        <w:pStyle w:val="BodyText2"/>
        <w:rPr>
          <w:sz w:val="20"/>
        </w:rPr>
      </w:pPr>
    </w:p>
    <w:p w14:paraId="1C3D1A22" w14:textId="30204468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Those </w:t>
      </w:r>
      <w:r w:rsidR="00F66DA2">
        <w:rPr>
          <w:sz w:val="20"/>
        </w:rPr>
        <w:t xml:space="preserve">Service Providers </w:t>
      </w:r>
      <w:r>
        <w:rPr>
          <w:sz w:val="20"/>
        </w:rPr>
        <w:t xml:space="preserve">that support pseudo-LRNs </w:t>
      </w:r>
      <w:r w:rsidR="00FE0E3E">
        <w:rPr>
          <w:sz w:val="20"/>
        </w:rPr>
        <w:t>would be</w:t>
      </w:r>
      <w:r>
        <w:rPr>
          <w:sz w:val="20"/>
        </w:rPr>
        <w:t xml:space="preserve"> expected</w:t>
      </w:r>
      <w:r w:rsidR="00FE0E3E">
        <w:rPr>
          <w:sz w:val="20"/>
        </w:rPr>
        <w:t>, without proper process documentation,</w:t>
      </w:r>
      <w:r>
        <w:rPr>
          <w:sz w:val="20"/>
        </w:rPr>
        <w:t xml:space="preserve"> to determine whether pseudo-LRN</w:t>
      </w:r>
      <w:r w:rsidR="00F66DA2">
        <w:rPr>
          <w:sz w:val="20"/>
        </w:rPr>
        <w:t>s</w:t>
      </w:r>
      <w:r>
        <w:rPr>
          <w:sz w:val="20"/>
        </w:rPr>
        <w:t xml:space="preserve"> </w:t>
      </w:r>
      <w:r w:rsidR="00F66DA2">
        <w:rPr>
          <w:sz w:val="20"/>
        </w:rPr>
        <w:t>should or should not</w:t>
      </w:r>
      <w:r>
        <w:rPr>
          <w:sz w:val="20"/>
        </w:rPr>
        <w:t xml:space="preserve"> be migrated and update the</w:t>
      </w:r>
      <w:r w:rsidR="00F66DA2">
        <w:rPr>
          <w:sz w:val="20"/>
        </w:rPr>
        <w:t xml:space="preserve"> SVs </w:t>
      </w:r>
      <w:r w:rsidR="007D225D">
        <w:rPr>
          <w:sz w:val="20"/>
        </w:rPr>
        <w:t>with Network routing LRNs</w:t>
      </w:r>
      <w:r w:rsidR="00FE0E3E">
        <w:rPr>
          <w:sz w:val="20"/>
        </w:rPr>
        <w:t xml:space="preserve"> (to keep the SV)</w:t>
      </w:r>
      <w:r w:rsidR="007D225D">
        <w:rPr>
          <w:sz w:val="20"/>
        </w:rPr>
        <w:t xml:space="preserve"> or Cancel the SVs </w:t>
      </w:r>
      <w:r w:rsidR="00FE0E3E">
        <w:rPr>
          <w:sz w:val="20"/>
        </w:rPr>
        <w:t xml:space="preserve">(also to keep the SV e.g. NPB defaults ‘ownership’) </w:t>
      </w:r>
      <w:r w:rsidR="007D225D">
        <w:rPr>
          <w:sz w:val="20"/>
        </w:rPr>
        <w:t>prior to the SPID Migration</w:t>
      </w:r>
      <w:r>
        <w:rPr>
          <w:sz w:val="20"/>
        </w:rPr>
        <w:t xml:space="preserve">. </w:t>
      </w:r>
      <w:r w:rsidR="00C37373">
        <w:rPr>
          <w:sz w:val="20"/>
        </w:rPr>
        <w:t xml:space="preserve">Without proper handling of pLRN </w:t>
      </w:r>
      <w:r w:rsidR="00997217">
        <w:rPr>
          <w:sz w:val="20"/>
        </w:rPr>
        <w:t>SVs</w:t>
      </w:r>
      <w:r w:rsidR="00C37373">
        <w:rPr>
          <w:sz w:val="20"/>
        </w:rPr>
        <w:t xml:space="preserve">, </w:t>
      </w:r>
      <w:r w:rsidR="00513B2A">
        <w:rPr>
          <w:sz w:val="20"/>
        </w:rPr>
        <w:t>the receiving</w:t>
      </w:r>
      <w:r w:rsidR="002C0780">
        <w:rPr>
          <w:sz w:val="20"/>
        </w:rPr>
        <w:t xml:space="preserve"> (TO)</w:t>
      </w:r>
      <w:r w:rsidR="00513B2A">
        <w:rPr>
          <w:sz w:val="20"/>
        </w:rPr>
        <w:t xml:space="preserve"> Service Provider inherits pLRN SVs and </w:t>
      </w:r>
      <w:r w:rsidR="002C0780">
        <w:rPr>
          <w:sz w:val="20"/>
        </w:rPr>
        <w:t>EITHER</w:t>
      </w:r>
      <w:r w:rsidR="00513B2A">
        <w:rPr>
          <w:sz w:val="20"/>
        </w:rPr>
        <w:t xml:space="preserve"> may not </w:t>
      </w:r>
      <w:r w:rsidR="002C0780">
        <w:rPr>
          <w:sz w:val="20"/>
        </w:rPr>
        <w:t xml:space="preserve">be aware of their existence (pLRN is an optional feature) </w:t>
      </w:r>
      <w:r w:rsidR="00FE0E3E">
        <w:rPr>
          <w:sz w:val="20"/>
        </w:rPr>
        <w:t xml:space="preserve">or </w:t>
      </w:r>
      <w:r w:rsidR="002C0780">
        <w:rPr>
          <w:sz w:val="20"/>
        </w:rPr>
        <w:t>consider</w:t>
      </w:r>
      <w:r w:rsidR="00FE0E3E">
        <w:rPr>
          <w:sz w:val="20"/>
        </w:rPr>
        <w:t>s</w:t>
      </w:r>
      <w:r w:rsidR="002C0780">
        <w:rPr>
          <w:sz w:val="20"/>
        </w:rPr>
        <w:t xml:space="preserve"> that the pLRN SV provides supporting </w:t>
      </w:r>
      <w:r w:rsidR="00FE0E3E">
        <w:rPr>
          <w:sz w:val="20"/>
        </w:rPr>
        <w:t>evidence</w:t>
      </w:r>
      <w:r w:rsidR="002C0780">
        <w:rPr>
          <w:sz w:val="20"/>
        </w:rPr>
        <w:t xml:space="preserve"> to consider the inventory as being transferred but not recognizing that Network call routing will still be based on the submitting (FROM) NPB</w:t>
      </w:r>
      <w:r w:rsidR="00F820CB">
        <w:rPr>
          <w:sz w:val="20"/>
        </w:rPr>
        <w:t xml:space="preserve"> LRN, if it exists</w:t>
      </w:r>
      <w:r w:rsidR="00FE0E3E">
        <w:rPr>
          <w:sz w:val="20"/>
        </w:rPr>
        <w:t>. This results in incurring delays in porting, dual assignment and, potentially, dual billing.</w:t>
      </w:r>
    </w:p>
    <w:p w14:paraId="42253B33" w14:textId="77777777" w:rsidR="00A80521" w:rsidRDefault="00A80521" w:rsidP="00ED3DEE">
      <w:pPr>
        <w:pStyle w:val="BodyText2"/>
        <w:rPr>
          <w:sz w:val="20"/>
        </w:rPr>
      </w:pPr>
    </w:p>
    <w:p w14:paraId="295CF682" w14:textId="77777777" w:rsidR="00281F67" w:rsidRDefault="00281F67">
      <w:pPr>
        <w:rPr>
          <w:sz w:val="24"/>
        </w:rPr>
      </w:pPr>
    </w:p>
    <w:p w14:paraId="6E69B1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D47873F" w14:textId="18BF45FC" w:rsidR="00A80521" w:rsidRDefault="007D1C55">
      <w:pPr>
        <w:pStyle w:val="BodyText2"/>
        <w:rPr>
          <w:sz w:val="20"/>
        </w:rPr>
      </w:pPr>
      <w:r>
        <w:rPr>
          <w:sz w:val="20"/>
        </w:rPr>
        <w:t xml:space="preserve">Service Providers </w:t>
      </w:r>
      <w:r w:rsidR="000B01DF">
        <w:rPr>
          <w:sz w:val="20"/>
        </w:rPr>
        <w:t>ha</w:t>
      </w:r>
      <w:r>
        <w:rPr>
          <w:sz w:val="20"/>
        </w:rPr>
        <w:t>ve</w:t>
      </w:r>
      <w:r w:rsidR="000B01DF">
        <w:rPr>
          <w:sz w:val="20"/>
        </w:rPr>
        <w:t xml:space="preserve"> noticed </w:t>
      </w:r>
      <w:r>
        <w:rPr>
          <w:sz w:val="20"/>
        </w:rPr>
        <w:t xml:space="preserve">this issue recently but requests assistance </w:t>
      </w:r>
      <w:r w:rsidR="00961709">
        <w:rPr>
          <w:sz w:val="20"/>
        </w:rPr>
        <w:t>from the LNPA on quanti</w:t>
      </w:r>
      <w:r w:rsidR="00FE0E3E">
        <w:rPr>
          <w:sz w:val="20"/>
        </w:rPr>
        <w:t>fication</w:t>
      </w:r>
      <w:r w:rsidR="00961709">
        <w:rPr>
          <w:sz w:val="20"/>
        </w:rPr>
        <w:t xml:space="preserve"> of </w:t>
      </w:r>
      <w:r w:rsidR="000B01DF">
        <w:rPr>
          <w:sz w:val="20"/>
        </w:rPr>
        <w:t xml:space="preserve">pseudo-LRN </w:t>
      </w:r>
      <w:r w:rsidR="00961709">
        <w:rPr>
          <w:sz w:val="20"/>
        </w:rPr>
        <w:t>SVs</w:t>
      </w:r>
      <w:r w:rsidR="000B01DF">
        <w:rPr>
          <w:sz w:val="20"/>
        </w:rPr>
        <w:t xml:space="preserve"> hav</w:t>
      </w:r>
      <w:r w:rsidR="00961709">
        <w:rPr>
          <w:sz w:val="20"/>
        </w:rPr>
        <w:t>ing</w:t>
      </w:r>
      <w:r w:rsidR="000B01DF">
        <w:rPr>
          <w:sz w:val="20"/>
        </w:rPr>
        <w:t xml:space="preserve"> been </w:t>
      </w:r>
      <w:r w:rsidR="00961709">
        <w:rPr>
          <w:sz w:val="20"/>
        </w:rPr>
        <w:t>involved in SPID M</w:t>
      </w:r>
      <w:r w:rsidR="000B01DF">
        <w:rPr>
          <w:sz w:val="20"/>
        </w:rPr>
        <w:t>igrat</w:t>
      </w:r>
      <w:r w:rsidR="00961709">
        <w:rPr>
          <w:sz w:val="20"/>
        </w:rPr>
        <w:t>ions.</w:t>
      </w:r>
    </w:p>
    <w:p w14:paraId="1C1C6D55" w14:textId="77777777" w:rsidR="00281F67" w:rsidRDefault="00281F67">
      <w:pPr>
        <w:rPr>
          <w:sz w:val="24"/>
        </w:rPr>
      </w:pPr>
    </w:p>
    <w:p w14:paraId="099B0982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1BC87979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4E8E81A" w14:textId="497E4820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Coast___  ALL</w:t>
      </w:r>
      <w:r w:rsidR="00B616D9">
        <w:rPr>
          <w:sz w:val="20"/>
        </w:rPr>
        <w:t xml:space="preserve"> </w:t>
      </w:r>
      <w:r w:rsidR="00751428">
        <w:rPr>
          <w:b/>
          <w:bCs/>
          <w:sz w:val="20"/>
          <w:u w:val="single"/>
        </w:rPr>
        <w:t xml:space="preserve"> X</w:t>
      </w:r>
      <w:r w:rsidR="00751428" w:rsidRPr="00751428">
        <w:rPr>
          <w:b/>
          <w:bCs/>
          <w:sz w:val="20"/>
          <w:u w:val="single"/>
        </w:rPr>
        <w:t>_</w:t>
      </w:r>
      <w:r w:rsidR="0006282D">
        <w:rPr>
          <w:sz w:val="20"/>
          <w:u w:val="single"/>
        </w:rPr>
        <w:t xml:space="preserve"> </w:t>
      </w:r>
    </w:p>
    <w:p w14:paraId="261D22C9" w14:textId="77777777" w:rsidR="00281F67" w:rsidRDefault="00281F67">
      <w:pPr>
        <w:rPr>
          <w:sz w:val="24"/>
        </w:rPr>
      </w:pPr>
    </w:p>
    <w:p w14:paraId="46CC3DE1" w14:textId="77777777" w:rsidR="00F17FA1" w:rsidRDefault="00F17FA1">
      <w:pPr>
        <w:rPr>
          <w:sz w:val="24"/>
        </w:rPr>
      </w:pPr>
    </w:p>
    <w:p w14:paraId="246EB7CF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58C3011F" w14:textId="5511DC58" w:rsidR="00A80521" w:rsidRDefault="00064CCB">
      <w:pPr>
        <w:pStyle w:val="BodyText2"/>
        <w:rPr>
          <w:sz w:val="20"/>
        </w:rPr>
      </w:pPr>
      <w:r>
        <w:rPr>
          <w:sz w:val="20"/>
        </w:rPr>
        <w:t xml:space="preserve">Some </w:t>
      </w:r>
      <w:r w:rsidR="007434FF">
        <w:rPr>
          <w:sz w:val="20"/>
        </w:rPr>
        <w:t>Service Providers</w:t>
      </w:r>
      <w:r>
        <w:rPr>
          <w:sz w:val="20"/>
        </w:rPr>
        <w:t xml:space="preserve"> may </w:t>
      </w:r>
      <w:r w:rsidR="007434FF">
        <w:rPr>
          <w:sz w:val="20"/>
        </w:rPr>
        <w:t>encounter port processing delays due to</w:t>
      </w:r>
      <w:r>
        <w:rPr>
          <w:sz w:val="20"/>
        </w:rPr>
        <w:t xml:space="preserve"> pseudo-LRN </w:t>
      </w:r>
      <w:r w:rsidR="007434FF">
        <w:rPr>
          <w:sz w:val="20"/>
        </w:rPr>
        <w:t>SVs</w:t>
      </w:r>
      <w:r>
        <w:rPr>
          <w:sz w:val="20"/>
        </w:rPr>
        <w:t xml:space="preserve"> </w:t>
      </w:r>
      <w:r w:rsidR="001F1394">
        <w:rPr>
          <w:sz w:val="20"/>
        </w:rPr>
        <w:t>causing NSP Create SV failures due to</w:t>
      </w:r>
      <w:r w:rsidR="006B71D4">
        <w:rPr>
          <w:sz w:val="20"/>
        </w:rPr>
        <w:t xml:space="preserve"> previously SPID Migrated</w:t>
      </w:r>
      <w:r w:rsidR="001F1394">
        <w:rPr>
          <w:sz w:val="20"/>
        </w:rPr>
        <w:t xml:space="preserve"> pLRN</w:t>
      </w:r>
      <w:r w:rsidR="006B71D4">
        <w:rPr>
          <w:sz w:val="20"/>
        </w:rPr>
        <w:t xml:space="preserve"> SVs OR dual assignment issues when pLRN SVs are </w:t>
      </w:r>
      <w:r w:rsidR="007A1462">
        <w:rPr>
          <w:sz w:val="20"/>
        </w:rPr>
        <w:t>modified</w:t>
      </w:r>
      <w:r w:rsidR="006B71D4">
        <w:rPr>
          <w:sz w:val="20"/>
        </w:rPr>
        <w:t xml:space="preserve"> to Network Routing </w:t>
      </w:r>
      <w:r w:rsidR="007A1462">
        <w:rPr>
          <w:sz w:val="20"/>
        </w:rPr>
        <w:t>LRNs</w:t>
      </w:r>
      <w:r w:rsidR="006B71D4">
        <w:rPr>
          <w:sz w:val="20"/>
        </w:rPr>
        <w:t xml:space="preserve"> </w:t>
      </w:r>
      <w:r w:rsidR="004229EE">
        <w:rPr>
          <w:sz w:val="20"/>
        </w:rPr>
        <w:t>by TO Service Providers</w:t>
      </w:r>
      <w:r w:rsidR="004A0668">
        <w:rPr>
          <w:sz w:val="20"/>
        </w:rPr>
        <w:t xml:space="preserve"> </w:t>
      </w:r>
      <w:r w:rsidR="006B71D4">
        <w:rPr>
          <w:sz w:val="20"/>
        </w:rPr>
        <w:t xml:space="preserve">that </w:t>
      </w:r>
      <w:r w:rsidR="004229EE">
        <w:rPr>
          <w:sz w:val="20"/>
        </w:rPr>
        <w:t xml:space="preserve">indirectly </w:t>
      </w:r>
      <w:r w:rsidR="004A0668">
        <w:rPr>
          <w:sz w:val="20"/>
        </w:rPr>
        <w:t>‘</w:t>
      </w:r>
      <w:r w:rsidR="004229EE">
        <w:rPr>
          <w:sz w:val="20"/>
        </w:rPr>
        <w:t>inherited</w:t>
      </w:r>
      <w:r w:rsidR="004A0668">
        <w:rPr>
          <w:sz w:val="20"/>
        </w:rPr>
        <w:t>’</w:t>
      </w:r>
      <w:r w:rsidR="004229EE">
        <w:rPr>
          <w:sz w:val="20"/>
        </w:rPr>
        <w:t xml:space="preserve"> TN </w:t>
      </w:r>
      <w:r w:rsidR="004A0668">
        <w:rPr>
          <w:sz w:val="20"/>
        </w:rPr>
        <w:t xml:space="preserve">inventory where </w:t>
      </w:r>
      <w:r w:rsidR="007A1462">
        <w:rPr>
          <w:sz w:val="20"/>
        </w:rPr>
        <w:t>based on Network Routing information prior to this ‘conversion’, the TN would belong to another Service Provider</w:t>
      </w:r>
      <w:r w:rsidR="00C50492">
        <w:rPr>
          <w:sz w:val="20"/>
        </w:rPr>
        <w:t>.</w:t>
      </w:r>
    </w:p>
    <w:p w14:paraId="4C0EE8FD" w14:textId="77777777" w:rsidR="00281F67" w:rsidRDefault="00281F67">
      <w:pPr>
        <w:rPr>
          <w:sz w:val="24"/>
        </w:rPr>
      </w:pPr>
    </w:p>
    <w:p w14:paraId="730D0CDF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08DCBDE1" w14:textId="77777777" w:rsidR="00AD2345" w:rsidRPr="00AD2345" w:rsidRDefault="00AD2345" w:rsidP="00AD2345">
      <w:pPr>
        <w:pStyle w:val="BodyText2"/>
        <w:rPr>
          <w:sz w:val="20"/>
        </w:rPr>
      </w:pPr>
      <w:r>
        <w:rPr>
          <w:sz w:val="20"/>
        </w:rPr>
        <w:t>NPIF AI</w:t>
      </w:r>
      <w:r w:rsidRPr="00AD2345">
        <w:rPr>
          <w:sz w:val="20"/>
        </w:rPr>
        <w:t xml:space="preserve"> 01082025-01– LNPA to compile information on pseudo-LRNs that were impacted/moved because of a SPID Migration</w:t>
      </w:r>
    </w:p>
    <w:p w14:paraId="011E778B" w14:textId="176D24ED" w:rsidR="00AD2345" w:rsidRPr="00AD2345" w:rsidRDefault="00AD2345">
      <w:pPr>
        <w:pStyle w:val="BodyText2"/>
        <w:rPr>
          <w:sz w:val="20"/>
        </w:rPr>
      </w:pPr>
    </w:p>
    <w:p w14:paraId="471FBB0F" w14:textId="290A0996" w:rsidR="00281F67" w:rsidRPr="00257EF2" w:rsidRDefault="00AD2345">
      <w:pPr>
        <w:pStyle w:val="BodyText2"/>
        <w:rPr>
          <w:sz w:val="20"/>
        </w:rPr>
      </w:pPr>
      <w:r>
        <w:rPr>
          <w:sz w:val="20"/>
        </w:rPr>
        <w:t xml:space="preserve">NPIF AI </w:t>
      </w:r>
      <w:r w:rsidRPr="00AD2345">
        <w:rPr>
          <w:sz w:val="20"/>
        </w:rPr>
        <w:t>02122025-0</w:t>
      </w:r>
      <w:r>
        <w:rPr>
          <w:sz w:val="20"/>
        </w:rPr>
        <w:t xml:space="preserve">3: </w:t>
      </w:r>
      <w:r w:rsidRPr="00AD2345">
        <w:rPr>
          <w:sz w:val="20"/>
        </w:rPr>
        <w:t>LNPA to notify SPs that have pLRNs from -Xs that are not assigned to them and to the SPs that do have the associated -X assigned to them</w:t>
      </w:r>
    </w:p>
    <w:p w14:paraId="27580944" w14:textId="77777777" w:rsidR="00281F67" w:rsidRDefault="00281F67">
      <w:pPr>
        <w:rPr>
          <w:sz w:val="24"/>
        </w:rPr>
      </w:pPr>
    </w:p>
    <w:p w14:paraId="72DB118D" w14:textId="45B222DB" w:rsidR="006E54DE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0B7B111B" w14:textId="73982820" w:rsidR="00AD2345" w:rsidRPr="00AD2345" w:rsidRDefault="00AD2345" w:rsidP="003A0118">
      <w:pPr>
        <w:pStyle w:val="BodyText2"/>
        <w:numPr>
          <w:ilvl w:val="0"/>
          <w:numId w:val="13"/>
        </w:numPr>
        <w:rPr>
          <w:sz w:val="20"/>
        </w:rPr>
      </w:pPr>
      <w:r w:rsidRPr="00AD2345">
        <w:rPr>
          <w:sz w:val="20"/>
        </w:rPr>
        <w:t>LNPA shared statistics re: AI 010082025-01</w:t>
      </w:r>
    </w:p>
    <w:p w14:paraId="0B4BDDAD" w14:textId="642DBB86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 xml:space="preserve">In the last 12 months across all regions, there have been 29 non-Pool PLRN SVs </w:t>
      </w:r>
      <w:r w:rsidR="00E93765">
        <w:rPr>
          <w:sz w:val="20"/>
        </w:rPr>
        <w:t xml:space="preserve">that </w:t>
      </w:r>
      <w:r w:rsidRPr="00AD2345">
        <w:rPr>
          <w:sz w:val="20"/>
        </w:rPr>
        <w:t xml:space="preserve">migrated due to migration of their corresponding NPA-NXX, the most recent being on February 9, 2025.  </w:t>
      </w:r>
    </w:p>
    <w:p w14:paraId="7883F768" w14:textId="77777777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>For all 29 TNs PLRNs migrated, the corresponding pool block (if it existed), was deleted/de-pooled in advance of the migration date.</w:t>
      </w:r>
    </w:p>
    <w:p w14:paraId="79B74E82" w14:textId="77777777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>Across all regions there are 170 non-Pool PLRN SVs that have a New SP ID that does not match the SPID on the corresponding -X record.</w:t>
      </w:r>
    </w:p>
    <w:p w14:paraId="084BC9A4" w14:textId="765949DC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 xml:space="preserve">In </w:t>
      </w:r>
      <w:r w:rsidR="00E93765">
        <w:rPr>
          <w:sz w:val="20"/>
        </w:rPr>
        <w:t xml:space="preserve">the </w:t>
      </w:r>
      <w:r w:rsidRPr="00AD2345">
        <w:rPr>
          <w:sz w:val="20"/>
        </w:rPr>
        <w:t>last 12 months there have been 306 pLRN -Xs</w:t>
      </w:r>
      <w:r w:rsidR="00E93765">
        <w:rPr>
          <w:sz w:val="20"/>
        </w:rPr>
        <w:t xml:space="preserve"> involved in</w:t>
      </w:r>
      <w:r w:rsidRPr="00AD2345">
        <w:rPr>
          <w:sz w:val="20"/>
        </w:rPr>
        <w:t xml:space="preserve"> </w:t>
      </w:r>
      <w:r w:rsidR="00E93765">
        <w:rPr>
          <w:sz w:val="20"/>
        </w:rPr>
        <w:t xml:space="preserve">SPID </w:t>
      </w:r>
      <w:r w:rsidRPr="00AD2345">
        <w:rPr>
          <w:sz w:val="20"/>
        </w:rPr>
        <w:t>migrat</w:t>
      </w:r>
      <w:r w:rsidR="00E93765">
        <w:rPr>
          <w:sz w:val="20"/>
        </w:rPr>
        <w:t>ions</w:t>
      </w:r>
      <w:r w:rsidRPr="00AD2345">
        <w:rPr>
          <w:sz w:val="20"/>
        </w:rPr>
        <w:t xml:space="preserve"> based on the migration of their corresponding NPA-NXX, the most recent being on July 28, 2024</w:t>
      </w:r>
    </w:p>
    <w:p w14:paraId="5E834828" w14:textId="77777777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>There are currently no SPID migrations scheduled that would affect a pLRN -X</w:t>
      </w:r>
    </w:p>
    <w:p w14:paraId="6D740D7B" w14:textId="77777777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>70% of pRLN NPBs have been de-pooled/deleted since August 1, 2024, and only 1 PLRN -X has been created since that date</w:t>
      </w:r>
    </w:p>
    <w:p w14:paraId="1836178E" w14:textId="77777777" w:rsidR="00AD2345" w:rsidRPr="00AD2345" w:rsidRDefault="00AD2345" w:rsidP="00AD2345">
      <w:pPr>
        <w:pStyle w:val="BodyText2"/>
        <w:numPr>
          <w:ilvl w:val="0"/>
          <w:numId w:val="15"/>
        </w:numPr>
        <w:rPr>
          <w:sz w:val="20"/>
        </w:rPr>
      </w:pPr>
      <w:r w:rsidRPr="00AD2345">
        <w:rPr>
          <w:sz w:val="20"/>
        </w:rPr>
        <w:t>An SP asked if the details could be shared with the SPs that have the pLRNs that are not within their assigned -X?</w:t>
      </w:r>
    </w:p>
    <w:p w14:paraId="5BF20CE4" w14:textId="72A60D78" w:rsidR="00AD2345" w:rsidRDefault="00AD2345" w:rsidP="00AD2345">
      <w:pPr>
        <w:pStyle w:val="BodyText2"/>
        <w:numPr>
          <w:ilvl w:val="0"/>
          <w:numId w:val="13"/>
        </w:numPr>
        <w:rPr>
          <w:sz w:val="20"/>
        </w:rPr>
      </w:pPr>
      <w:r w:rsidRPr="00AD2345">
        <w:rPr>
          <w:sz w:val="20"/>
        </w:rPr>
        <w:t xml:space="preserve">LNPA shared </w:t>
      </w:r>
      <w:r w:rsidR="00827996">
        <w:rPr>
          <w:sz w:val="20"/>
        </w:rPr>
        <w:t xml:space="preserve">details with SPs </w:t>
      </w:r>
      <w:r w:rsidRPr="00AD2345">
        <w:rPr>
          <w:sz w:val="20"/>
        </w:rPr>
        <w:t>re: AI 02122025-03</w:t>
      </w:r>
    </w:p>
    <w:p w14:paraId="6626D600" w14:textId="535E3AEB" w:rsidR="00AD2345" w:rsidRDefault="00827996" w:rsidP="00AD2345">
      <w:pPr>
        <w:pStyle w:val="BodyText2"/>
        <w:numPr>
          <w:ilvl w:val="0"/>
          <w:numId w:val="16"/>
        </w:numPr>
        <w:rPr>
          <w:sz w:val="20"/>
        </w:rPr>
      </w:pPr>
      <w:r>
        <w:rPr>
          <w:sz w:val="20"/>
        </w:rPr>
        <w:t>SPs</w:t>
      </w:r>
      <w:r w:rsidRPr="00827996">
        <w:rPr>
          <w:sz w:val="20"/>
        </w:rPr>
        <w:t xml:space="preserve"> work</w:t>
      </w:r>
      <w:r>
        <w:rPr>
          <w:sz w:val="20"/>
        </w:rPr>
        <w:t>ed</w:t>
      </w:r>
      <w:r w:rsidRPr="00827996">
        <w:rPr>
          <w:sz w:val="20"/>
        </w:rPr>
        <w:t xml:space="preserve"> </w:t>
      </w:r>
      <w:r>
        <w:rPr>
          <w:sz w:val="20"/>
        </w:rPr>
        <w:t>together</w:t>
      </w:r>
      <w:r w:rsidRPr="00827996">
        <w:rPr>
          <w:sz w:val="20"/>
        </w:rPr>
        <w:t xml:space="preserve"> on disconnecting the pLRN SVs at NPAC</w:t>
      </w:r>
      <w:r>
        <w:rPr>
          <w:sz w:val="20"/>
        </w:rPr>
        <w:t xml:space="preserve"> that were inadvertently ‘moved’ due to SPID Migrations.</w:t>
      </w:r>
    </w:p>
    <w:p w14:paraId="6AA4F75D" w14:textId="77777777" w:rsidR="00827996" w:rsidRDefault="00827996" w:rsidP="00827996">
      <w:pPr>
        <w:pStyle w:val="BodyText2"/>
        <w:rPr>
          <w:sz w:val="20"/>
        </w:rPr>
      </w:pPr>
    </w:p>
    <w:p w14:paraId="7F9D5687" w14:textId="7E7CE347" w:rsidR="00827996" w:rsidRDefault="00827996" w:rsidP="00827996">
      <w:pPr>
        <w:pStyle w:val="BodyText2"/>
        <w:rPr>
          <w:sz w:val="20"/>
        </w:rPr>
      </w:pPr>
      <w:r>
        <w:rPr>
          <w:sz w:val="20"/>
        </w:rPr>
        <w:t>AT&amp;T to</w:t>
      </w:r>
      <w:r w:rsidRPr="00AD2345">
        <w:rPr>
          <w:sz w:val="20"/>
        </w:rPr>
        <w:t xml:space="preserve"> ask if </w:t>
      </w:r>
      <w:r>
        <w:rPr>
          <w:sz w:val="20"/>
        </w:rPr>
        <w:t>new</w:t>
      </w:r>
      <w:r w:rsidRPr="00AD2345">
        <w:rPr>
          <w:sz w:val="20"/>
        </w:rPr>
        <w:t xml:space="preserve"> details could be shared with the SPs that have the pLRNs that are not within their assigned -X</w:t>
      </w:r>
      <w:r>
        <w:rPr>
          <w:sz w:val="20"/>
        </w:rPr>
        <w:t>, i.e. how complete is the ‘cleanup’ effort?</w:t>
      </w:r>
    </w:p>
    <w:p w14:paraId="3FE6B9A5" w14:textId="77777777" w:rsidR="00827996" w:rsidRPr="00AD2345" w:rsidRDefault="00827996" w:rsidP="00827996">
      <w:pPr>
        <w:pStyle w:val="BodyText2"/>
        <w:rPr>
          <w:sz w:val="20"/>
        </w:rPr>
      </w:pPr>
    </w:p>
    <w:p w14:paraId="401AD75B" w14:textId="77777777" w:rsidR="00AD2345" w:rsidRPr="00AD2345" w:rsidRDefault="00AD2345" w:rsidP="00F17DA1">
      <w:pPr>
        <w:pStyle w:val="BodyText2"/>
        <w:rPr>
          <w:sz w:val="20"/>
        </w:rPr>
      </w:pPr>
    </w:p>
    <w:p w14:paraId="593D47D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1EF988BA" w14:textId="77777777" w:rsidR="00C141A7" w:rsidRDefault="00C141A7">
      <w:pPr>
        <w:rPr>
          <w:sz w:val="24"/>
        </w:rPr>
      </w:pPr>
    </w:p>
    <w:p w14:paraId="65FF12F2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0586C3C8" w14:textId="77777777" w:rsidR="00281F67" w:rsidRDefault="00281F67">
      <w:pPr>
        <w:rPr>
          <w:sz w:val="24"/>
        </w:rPr>
      </w:pPr>
    </w:p>
    <w:p w14:paraId="10C25A1B" w14:textId="31981224" w:rsidR="007A1462" w:rsidRDefault="00445660" w:rsidP="00445660">
      <w:pPr>
        <w:pStyle w:val="BodyText2"/>
        <w:rPr>
          <w:sz w:val="20"/>
        </w:rPr>
      </w:pPr>
      <w:r>
        <w:rPr>
          <w:sz w:val="20"/>
        </w:rPr>
        <w:t xml:space="preserve">Clarification </w:t>
      </w:r>
      <w:r w:rsidR="00604C9D">
        <w:rPr>
          <w:sz w:val="20"/>
        </w:rPr>
        <w:t>could be made to</w:t>
      </w:r>
      <w:r>
        <w:rPr>
          <w:sz w:val="20"/>
        </w:rPr>
        <w:t xml:space="preserve"> the industry documents</w:t>
      </w:r>
      <w:r w:rsidR="00604C9D">
        <w:rPr>
          <w:sz w:val="20"/>
        </w:rPr>
        <w:t xml:space="preserve"> related to SPID Migrations</w:t>
      </w:r>
      <w:r w:rsidR="00E93765">
        <w:rPr>
          <w:sz w:val="20"/>
        </w:rPr>
        <w:t xml:space="preserve"> by the LNPA e.g. </w:t>
      </w:r>
      <w:r w:rsidR="00604C9D">
        <w:rPr>
          <w:sz w:val="20"/>
        </w:rPr>
        <w:t xml:space="preserve">the M&amp;Ps, to describe how </w:t>
      </w:r>
      <w:r w:rsidR="007A1462">
        <w:rPr>
          <w:sz w:val="20"/>
        </w:rPr>
        <w:t xml:space="preserve">Service Providers </w:t>
      </w:r>
      <w:r w:rsidR="00604C9D">
        <w:rPr>
          <w:sz w:val="20"/>
        </w:rPr>
        <w:t>should handle pseudo-LRN SVs</w:t>
      </w:r>
      <w:r w:rsidR="007A1462">
        <w:rPr>
          <w:sz w:val="20"/>
        </w:rPr>
        <w:t xml:space="preserve"> prior to approval of the SPID Migration</w:t>
      </w:r>
      <w:r w:rsidR="00E93765">
        <w:rPr>
          <w:sz w:val="20"/>
        </w:rPr>
        <w:t>.</w:t>
      </w:r>
      <w:r w:rsidR="007A1462">
        <w:rPr>
          <w:sz w:val="20"/>
        </w:rPr>
        <w:t xml:space="preserve"> NOTE: This may not resolve issues for pLRN SVs of Service Providers that are NOT directly associated </w:t>
      </w:r>
      <w:r w:rsidR="00E93765">
        <w:rPr>
          <w:sz w:val="20"/>
        </w:rPr>
        <w:t>with</w:t>
      </w:r>
      <w:r w:rsidR="007A1462">
        <w:rPr>
          <w:sz w:val="20"/>
        </w:rPr>
        <w:t xml:space="preserve"> the SPID Migration (need LNPA insight)</w:t>
      </w:r>
      <w:r w:rsidR="00E93765">
        <w:rPr>
          <w:sz w:val="20"/>
        </w:rPr>
        <w:t>. However, it may assist in reducing the impact of the unintended change in SPID for pseudo-LRN SVs and confusion specific to TN &lt;&gt; SPID ‘ownership’.</w:t>
      </w:r>
    </w:p>
    <w:p w14:paraId="466D7634" w14:textId="2596C8B5" w:rsidR="00E116B6" w:rsidRPr="00C50492" w:rsidRDefault="007A1462" w:rsidP="00C50492">
      <w:pPr>
        <w:pStyle w:val="BodyText2"/>
        <w:rPr>
          <w:sz w:val="20"/>
        </w:rPr>
      </w:pPr>
      <w:r>
        <w:rPr>
          <w:sz w:val="20"/>
        </w:rPr>
        <w:t>Best Practice on support of pLRN SVs that were involved in a SPID Migration should be considered.</w:t>
      </w:r>
    </w:p>
    <w:p w14:paraId="705C8E44" w14:textId="77777777" w:rsidR="00281F67" w:rsidRDefault="00281F67">
      <w:pPr>
        <w:rPr>
          <w:sz w:val="24"/>
        </w:rPr>
      </w:pPr>
    </w:p>
    <w:p w14:paraId="29CABDB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61DBF3DC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4E15D531" w14:textId="0FB9A8D2" w:rsidR="00A80521" w:rsidRDefault="00E93765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  <w:r>
        <w:rPr>
          <w:sz w:val="22"/>
          <w:szCs w:val="18"/>
        </w:rPr>
        <w:t>Not fully resolved.</w:t>
      </w:r>
    </w:p>
    <w:p w14:paraId="6101573F" w14:textId="77777777" w:rsidR="00E93765" w:rsidRDefault="00E93765" w:rsidP="00E93765">
      <w:pPr>
        <w:pStyle w:val="BodyText2"/>
        <w:numPr>
          <w:ilvl w:val="0"/>
          <w:numId w:val="13"/>
        </w:numPr>
        <w:rPr>
          <w:sz w:val="20"/>
        </w:rPr>
      </w:pPr>
      <w:r w:rsidRPr="00AD2345">
        <w:rPr>
          <w:sz w:val="20"/>
        </w:rPr>
        <w:t>LNPA shared statistics re: AI 010082025-01</w:t>
      </w:r>
    </w:p>
    <w:p w14:paraId="6BC02242" w14:textId="77777777" w:rsidR="00E93765" w:rsidRDefault="00E93765" w:rsidP="00E93765">
      <w:pPr>
        <w:pStyle w:val="BodyText2"/>
        <w:numPr>
          <w:ilvl w:val="0"/>
          <w:numId w:val="13"/>
        </w:numPr>
        <w:rPr>
          <w:sz w:val="20"/>
        </w:rPr>
      </w:pPr>
      <w:r w:rsidRPr="00AD2345">
        <w:rPr>
          <w:sz w:val="20"/>
        </w:rPr>
        <w:t xml:space="preserve">LNPA shared </w:t>
      </w:r>
      <w:r>
        <w:rPr>
          <w:sz w:val="20"/>
        </w:rPr>
        <w:t xml:space="preserve">details with SPs </w:t>
      </w:r>
      <w:r w:rsidRPr="00AD2345">
        <w:rPr>
          <w:sz w:val="20"/>
        </w:rPr>
        <w:t>re: AI 02122025-03</w:t>
      </w:r>
    </w:p>
    <w:p w14:paraId="5A64E55E" w14:textId="175F7FAF" w:rsidR="00E93765" w:rsidRPr="00AD2345" w:rsidRDefault="00E93765" w:rsidP="00E93765">
      <w:pPr>
        <w:pStyle w:val="BodyText2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Some Service providers have assisted in the ‘cleanup’ action e.g. removed pseudo-LRN SVs to their original SPIDs </w:t>
      </w:r>
    </w:p>
    <w:p w14:paraId="0EC760E2" w14:textId="1D070BCB" w:rsidR="00626BA8" w:rsidRDefault="00EF1737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  <w:r>
        <w:rPr>
          <w:sz w:val="22"/>
          <w:szCs w:val="18"/>
        </w:rPr>
        <w:t>This PIM resulted in changes to the SPID Migration Request Process in the</w:t>
      </w:r>
      <w:r w:rsidR="003364A3">
        <w:rPr>
          <w:sz w:val="22"/>
          <w:szCs w:val="18"/>
        </w:rPr>
        <w:t xml:space="preserve"> </w:t>
      </w:r>
      <w:r>
        <w:rPr>
          <w:sz w:val="22"/>
          <w:szCs w:val="18"/>
        </w:rPr>
        <w:t>Customer Portal</w:t>
      </w:r>
      <w:r w:rsidR="00D23005">
        <w:rPr>
          <w:sz w:val="22"/>
          <w:szCs w:val="18"/>
        </w:rPr>
        <w:t>.  These changes require p</w:t>
      </w:r>
      <w:r>
        <w:rPr>
          <w:sz w:val="22"/>
          <w:szCs w:val="18"/>
        </w:rPr>
        <w:t xml:space="preserve">ositive confirmation by SPs </w:t>
      </w:r>
      <w:r w:rsidR="003364A3">
        <w:rPr>
          <w:sz w:val="22"/>
          <w:szCs w:val="18"/>
        </w:rPr>
        <w:t xml:space="preserve">creating a SPID Migration request </w:t>
      </w:r>
      <w:r>
        <w:rPr>
          <w:sz w:val="22"/>
          <w:szCs w:val="18"/>
        </w:rPr>
        <w:t xml:space="preserve">that </w:t>
      </w:r>
      <w:r w:rsidR="00626BA8">
        <w:rPr>
          <w:sz w:val="22"/>
          <w:szCs w:val="18"/>
        </w:rPr>
        <w:t xml:space="preserve">active </w:t>
      </w:r>
      <w:r>
        <w:rPr>
          <w:sz w:val="22"/>
          <w:szCs w:val="18"/>
        </w:rPr>
        <w:t xml:space="preserve">pseudo LRNs </w:t>
      </w:r>
      <w:r w:rsidR="00626BA8">
        <w:rPr>
          <w:sz w:val="22"/>
          <w:szCs w:val="18"/>
        </w:rPr>
        <w:t>could be impacted by the SPID Migration.  And if either SP does not want them migrated, they should be disconnected 10 days prior to scheduling the SPID Migration.</w:t>
      </w:r>
    </w:p>
    <w:p w14:paraId="48D249FB" w14:textId="453EA186" w:rsidR="00E93765" w:rsidRDefault="00D23005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  <w:r>
        <w:rPr>
          <w:sz w:val="22"/>
          <w:szCs w:val="18"/>
        </w:rPr>
        <w:t>The SPID Migration Request M&amp;P was updated to capture the changes to the process.</w:t>
      </w:r>
      <w:r w:rsidR="00EF1737">
        <w:rPr>
          <w:sz w:val="22"/>
          <w:szCs w:val="18"/>
        </w:rPr>
        <w:t xml:space="preserve"> </w:t>
      </w:r>
    </w:p>
    <w:p w14:paraId="48B6544B" w14:textId="77777777" w:rsidR="00913A91" w:rsidRDefault="00913A91">
      <w:pPr>
        <w:rPr>
          <w:sz w:val="24"/>
        </w:rPr>
      </w:pPr>
    </w:p>
    <w:p w14:paraId="15CCA1E8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666C00E5" w14:textId="13989B87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C50492">
        <w:rPr>
          <w:color w:val="002060"/>
          <w:sz w:val="24"/>
        </w:rPr>
        <w:t>158</w:t>
      </w:r>
      <w:r>
        <w:rPr>
          <w:color w:val="002060"/>
          <w:sz w:val="24"/>
        </w:rPr>
        <w:tab/>
      </w:r>
      <w:r w:rsidR="00972162">
        <w:rPr>
          <w:color w:val="002060"/>
          <w:sz w:val="24"/>
        </w:rPr>
        <w:t>v</w:t>
      </w:r>
      <w:r w:rsidR="009636F5">
        <w:rPr>
          <w:color w:val="002060"/>
          <w:sz w:val="24"/>
        </w:rPr>
        <w:t>3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  <w:r w:rsidR="00DF03CD">
        <w:rPr>
          <w:color w:val="002060"/>
          <w:sz w:val="24"/>
        </w:rPr>
        <w:t xml:space="preserve"> </w:t>
      </w:r>
      <w:r w:rsidR="00EF1737">
        <w:rPr>
          <w:color w:val="002060"/>
          <w:sz w:val="24"/>
        </w:rPr>
        <w:t>09/10/2025</w:t>
      </w:r>
    </w:p>
    <w:p w14:paraId="586B3332" w14:textId="26B861D6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7A1462">
        <w:rPr>
          <w:color w:val="002060"/>
          <w:sz w:val="24"/>
        </w:rPr>
        <w:t xml:space="preserve">FRS Section 3.2.2 </w:t>
      </w:r>
      <w:r w:rsidR="00A81335">
        <w:rPr>
          <w:color w:val="002060"/>
          <w:sz w:val="24"/>
        </w:rPr>
        <w:t>SPID Migration Update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397F57C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17B1543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08F978DD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659E5B73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9CCD" w14:textId="77777777" w:rsidR="00E80803" w:rsidRDefault="00E80803">
      <w:r>
        <w:separator/>
      </w:r>
    </w:p>
  </w:endnote>
  <w:endnote w:type="continuationSeparator" w:id="0">
    <w:p w14:paraId="39B99D45" w14:textId="77777777" w:rsidR="00E80803" w:rsidRDefault="00E8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376A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72C56F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FA32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E3E7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725A" w14:textId="77777777" w:rsidR="00E80803" w:rsidRDefault="00E80803">
      <w:r>
        <w:separator/>
      </w:r>
    </w:p>
  </w:footnote>
  <w:footnote w:type="continuationSeparator" w:id="0">
    <w:p w14:paraId="44E83120" w14:textId="77777777" w:rsidR="00E80803" w:rsidRDefault="00E8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5CA5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5E9C"/>
    <w:multiLevelType w:val="hybridMultilevel"/>
    <w:tmpl w:val="29806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F87419"/>
    <w:multiLevelType w:val="hybridMultilevel"/>
    <w:tmpl w:val="ED30D08A"/>
    <w:lvl w:ilvl="0" w:tplc="761A4F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4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6359AA"/>
    <w:multiLevelType w:val="hybridMultilevel"/>
    <w:tmpl w:val="3C12E9D4"/>
    <w:lvl w:ilvl="0" w:tplc="7C1EF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815DC"/>
    <w:multiLevelType w:val="hybridMultilevel"/>
    <w:tmpl w:val="5192D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823427050">
    <w:abstractNumId w:val="6"/>
  </w:num>
  <w:num w:numId="2" w16cid:durableId="1099715732">
    <w:abstractNumId w:val="14"/>
  </w:num>
  <w:num w:numId="3" w16cid:durableId="1741057595">
    <w:abstractNumId w:val="3"/>
  </w:num>
  <w:num w:numId="4" w16cid:durableId="1193180950">
    <w:abstractNumId w:val="13"/>
  </w:num>
  <w:num w:numId="5" w16cid:durableId="1629121910">
    <w:abstractNumId w:val="9"/>
  </w:num>
  <w:num w:numId="6" w16cid:durableId="834036432">
    <w:abstractNumId w:val="1"/>
  </w:num>
  <w:num w:numId="7" w16cid:durableId="873346347">
    <w:abstractNumId w:val="12"/>
  </w:num>
  <w:num w:numId="8" w16cid:durableId="290477474">
    <w:abstractNumId w:val="5"/>
  </w:num>
  <w:num w:numId="9" w16cid:durableId="1068304023">
    <w:abstractNumId w:val="10"/>
  </w:num>
  <w:num w:numId="10" w16cid:durableId="2031299357">
    <w:abstractNumId w:val="4"/>
  </w:num>
  <w:num w:numId="11" w16cid:durableId="1744598748">
    <w:abstractNumId w:val="11"/>
  </w:num>
  <w:num w:numId="12" w16cid:durableId="1003701013">
    <w:abstractNumId w:val="2"/>
  </w:num>
  <w:num w:numId="13" w16cid:durableId="320545494">
    <w:abstractNumId w:val="0"/>
  </w:num>
  <w:num w:numId="14" w16cid:durableId="1586649915">
    <w:abstractNumId w:val="0"/>
  </w:num>
  <w:num w:numId="15" w16cid:durableId="1623539326">
    <w:abstractNumId w:val="8"/>
  </w:num>
  <w:num w:numId="16" w16cid:durableId="552884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6282D"/>
    <w:rsid w:val="000628C3"/>
    <w:rsid w:val="00064CCB"/>
    <w:rsid w:val="00066FB5"/>
    <w:rsid w:val="000870ED"/>
    <w:rsid w:val="0009434D"/>
    <w:rsid w:val="000B01DF"/>
    <w:rsid w:val="000C0892"/>
    <w:rsid w:val="000C16CD"/>
    <w:rsid w:val="000C58C0"/>
    <w:rsid w:val="000D5ABF"/>
    <w:rsid w:val="000E2004"/>
    <w:rsid w:val="001031A8"/>
    <w:rsid w:val="00113E10"/>
    <w:rsid w:val="00131143"/>
    <w:rsid w:val="00145BB3"/>
    <w:rsid w:val="00151109"/>
    <w:rsid w:val="0016096D"/>
    <w:rsid w:val="00195B4E"/>
    <w:rsid w:val="001A1A5E"/>
    <w:rsid w:val="001A3888"/>
    <w:rsid w:val="001A68D0"/>
    <w:rsid w:val="001A692B"/>
    <w:rsid w:val="001A7515"/>
    <w:rsid w:val="001B569F"/>
    <w:rsid w:val="001C082F"/>
    <w:rsid w:val="001C2986"/>
    <w:rsid w:val="001C54A7"/>
    <w:rsid w:val="001D3748"/>
    <w:rsid w:val="001F1394"/>
    <w:rsid w:val="002123DD"/>
    <w:rsid w:val="00216184"/>
    <w:rsid w:val="002171A6"/>
    <w:rsid w:val="00222B30"/>
    <w:rsid w:val="0022720C"/>
    <w:rsid w:val="00240352"/>
    <w:rsid w:val="0024100E"/>
    <w:rsid w:val="00254782"/>
    <w:rsid w:val="0025574E"/>
    <w:rsid w:val="00257EF2"/>
    <w:rsid w:val="0026268C"/>
    <w:rsid w:val="0026743E"/>
    <w:rsid w:val="00274129"/>
    <w:rsid w:val="00280E29"/>
    <w:rsid w:val="00281F67"/>
    <w:rsid w:val="00290AA2"/>
    <w:rsid w:val="002A4C42"/>
    <w:rsid w:val="002A6F04"/>
    <w:rsid w:val="002A7914"/>
    <w:rsid w:val="002B2AE1"/>
    <w:rsid w:val="002B4C4F"/>
    <w:rsid w:val="002C0780"/>
    <w:rsid w:val="002D1084"/>
    <w:rsid w:val="002E0F8D"/>
    <w:rsid w:val="002F3199"/>
    <w:rsid w:val="002F3820"/>
    <w:rsid w:val="002F3E9A"/>
    <w:rsid w:val="00300D30"/>
    <w:rsid w:val="00306219"/>
    <w:rsid w:val="00306A4B"/>
    <w:rsid w:val="0031054B"/>
    <w:rsid w:val="0031113B"/>
    <w:rsid w:val="00314109"/>
    <w:rsid w:val="00322C82"/>
    <w:rsid w:val="003364A3"/>
    <w:rsid w:val="00337B71"/>
    <w:rsid w:val="00352941"/>
    <w:rsid w:val="003659F2"/>
    <w:rsid w:val="00370673"/>
    <w:rsid w:val="0037170E"/>
    <w:rsid w:val="00391078"/>
    <w:rsid w:val="003A0F00"/>
    <w:rsid w:val="003A0FDF"/>
    <w:rsid w:val="003C1C0E"/>
    <w:rsid w:val="003D5498"/>
    <w:rsid w:val="003E2319"/>
    <w:rsid w:val="003E7A8C"/>
    <w:rsid w:val="003F7544"/>
    <w:rsid w:val="004116B9"/>
    <w:rsid w:val="00412A3B"/>
    <w:rsid w:val="00415B72"/>
    <w:rsid w:val="00417A65"/>
    <w:rsid w:val="004229EE"/>
    <w:rsid w:val="00426362"/>
    <w:rsid w:val="00437CC9"/>
    <w:rsid w:val="00437DB6"/>
    <w:rsid w:val="00445660"/>
    <w:rsid w:val="00446F03"/>
    <w:rsid w:val="004561C3"/>
    <w:rsid w:val="004562A8"/>
    <w:rsid w:val="004608A1"/>
    <w:rsid w:val="00474C1E"/>
    <w:rsid w:val="00476277"/>
    <w:rsid w:val="004800C1"/>
    <w:rsid w:val="00492898"/>
    <w:rsid w:val="004A0668"/>
    <w:rsid w:val="004A11C7"/>
    <w:rsid w:val="004A121B"/>
    <w:rsid w:val="004A2BF2"/>
    <w:rsid w:val="004A3C1E"/>
    <w:rsid w:val="004B4809"/>
    <w:rsid w:val="004C30C6"/>
    <w:rsid w:val="004C3195"/>
    <w:rsid w:val="004C4A7F"/>
    <w:rsid w:val="004C623F"/>
    <w:rsid w:val="004C7622"/>
    <w:rsid w:val="004D1512"/>
    <w:rsid w:val="004D1AED"/>
    <w:rsid w:val="004D4692"/>
    <w:rsid w:val="004E3A96"/>
    <w:rsid w:val="004E5BAA"/>
    <w:rsid w:val="004F38B9"/>
    <w:rsid w:val="0050353A"/>
    <w:rsid w:val="00513B2A"/>
    <w:rsid w:val="00514785"/>
    <w:rsid w:val="005209A1"/>
    <w:rsid w:val="00530C0F"/>
    <w:rsid w:val="0053363B"/>
    <w:rsid w:val="00537F06"/>
    <w:rsid w:val="005511C4"/>
    <w:rsid w:val="00551757"/>
    <w:rsid w:val="00555C5D"/>
    <w:rsid w:val="00565B84"/>
    <w:rsid w:val="00582722"/>
    <w:rsid w:val="00593102"/>
    <w:rsid w:val="005A2C73"/>
    <w:rsid w:val="005A61A9"/>
    <w:rsid w:val="005A7CA5"/>
    <w:rsid w:val="005B43C7"/>
    <w:rsid w:val="005B4D08"/>
    <w:rsid w:val="005B655C"/>
    <w:rsid w:val="005C7BEB"/>
    <w:rsid w:val="005D5537"/>
    <w:rsid w:val="005E0106"/>
    <w:rsid w:val="00600CDD"/>
    <w:rsid w:val="00604C9D"/>
    <w:rsid w:val="006138FF"/>
    <w:rsid w:val="00626BA8"/>
    <w:rsid w:val="00640982"/>
    <w:rsid w:val="00641B71"/>
    <w:rsid w:val="006657BB"/>
    <w:rsid w:val="00675A29"/>
    <w:rsid w:val="00682CB4"/>
    <w:rsid w:val="00683644"/>
    <w:rsid w:val="006A4D48"/>
    <w:rsid w:val="006B34E5"/>
    <w:rsid w:val="006B52D5"/>
    <w:rsid w:val="006B6D23"/>
    <w:rsid w:val="006B71D4"/>
    <w:rsid w:val="006D6A82"/>
    <w:rsid w:val="006E54DE"/>
    <w:rsid w:val="00711774"/>
    <w:rsid w:val="007150F7"/>
    <w:rsid w:val="007203B0"/>
    <w:rsid w:val="00721650"/>
    <w:rsid w:val="00724C3A"/>
    <w:rsid w:val="00725E0A"/>
    <w:rsid w:val="007434FF"/>
    <w:rsid w:val="00746ED5"/>
    <w:rsid w:val="00751428"/>
    <w:rsid w:val="007559E6"/>
    <w:rsid w:val="00765938"/>
    <w:rsid w:val="0077467C"/>
    <w:rsid w:val="007810AF"/>
    <w:rsid w:val="007870A6"/>
    <w:rsid w:val="0078713F"/>
    <w:rsid w:val="00787A40"/>
    <w:rsid w:val="00796AA5"/>
    <w:rsid w:val="007A1462"/>
    <w:rsid w:val="007A6F81"/>
    <w:rsid w:val="007B2DE4"/>
    <w:rsid w:val="007B5132"/>
    <w:rsid w:val="007C5382"/>
    <w:rsid w:val="007C5589"/>
    <w:rsid w:val="007D0CD7"/>
    <w:rsid w:val="007D1C55"/>
    <w:rsid w:val="007D225D"/>
    <w:rsid w:val="007E2686"/>
    <w:rsid w:val="007E7DBC"/>
    <w:rsid w:val="007F5624"/>
    <w:rsid w:val="00811768"/>
    <w:rsid w:val="008139A6"/>
    <w:rsid w:val="00813A94"/>
    <w:rsid w:val="00824963"/>
    <w:rsid w:val="00827996"/>
    <w:rsid w:val="008307C3"/>
    <w:rsid w:val="00834C1D"/>
    <w:rsid w:val="0083598C"/>
    <w:rsid w:val="00852EFD"/>
    <w:rsid w:val="0087167B"/>
    <w:rsid w:val="00886D22"/>
    <w:rsid w:val="008879EB"/>
    <w:rsid w:val="00892EE7"/>
    <w:rsid w:val="0089334F"/>
    <w:rsid w:val="0089588D"/>
    <w:rsid w:val="008A0EA3"/>
    <w:rsid w:val="008A2443"/>
    <w:rsid w:val="008B20C3"/>
    <w:rsid w:val="008B3CA9"/>
    <w:rsid w:val="008C23E1"/>
    <w:rsid w:val="008C5A62"/>
    <w:rsid w:val="008E4A14"/>
    <w:rsid w:val="008E6752"/>
    <w:rsid w:val="008F1262"/>
    <w:rsid w:val="008F6CA8"/>
    <w:rsid w:val="00903316"/>
    <w:rsid w:val="00905BA4"/>
    <w:rsid w:val="00913A91"/>
    <w:rsid w:val="00922824"/>
    <w:rsid w:val="00924312"/>
    <w:rsid w:val="009309E8"/>
    <w:rsid w:val="00935380"/>
    <w:rsid w:val="00937D3A"/>
    <w:rsid w:val="00961709"/>
    <w:rsid w:val="009636F5"/>
    <w:rsid w:val="00972162"/>
    <w:rsid w:val="0097484E"/>
    <w:rsid w:val="00975F82"/>
    <w:rsid w:val="00981FE7"/>
    <w:rsid w:val="009821DE"/>
    <w:rsid w:val="0099315E"/>
    <w:rsid w:val="00997217"/>
    <w:rsid w:val="009A3FDA"/>
    <w:rsid w:val="009A6576"/>
    <w:rsid w:val="009A6F2A"/>
    <w:rsid w:val="009B32EC"/>
    <w:rsid w:val="009B3B8A"/>
    <w:rsid w:val="009B7EAF"/>
    <w:rsid w:val="009C3970"/>
    <w:rsid w:val="009D19E7"/>
    <w:rsid w:val="009D790B"/>
    <w:rsid w:val="009F1E2D"/>
    <w:rsid w:val="009F5BBB"/>
    <w:rsid w:val="00A04B52"/>
    <w:rsid w:val="00A05A29"/>
    <w:rsid w:val="00A1613B"/>
    <w:rsid w:val="00A204A5"/>
    <w:rsid w:val="00A256D2"/>
    <w:rsid w:val="00A31915"/>
    <w:rsid w:val="00A367DE"/>
    <w:rsid w:val="00A53304"/>
    <w:rsid w:val="00A566E7"/>
    <w:rsid w:val="00A654CC"/>
    <w:rsid w:val="00A80521"/>
    <w:rsid w:val="00A81335"/>
    <w:rsid w:val="00A92628"/>
    <w:rsid w:val="00A92A53"/>
    <w:rsid w:val="00AB4F4D"/>
    <w:rsid w:val="00AB7D35"/>
    <w:rsid w:val="00AD0742"/>
    <w:rsid w:val="00AD2345"/>
    <w:rsid w:val="00AD34DF"/>
    <w:rsid w:val="00AD6BAB"/>
    <w:rsid w:val="00AE146F"/>
    <w:rsid w:val="00AE4915"/>
    <w:rsid w:val="00AE7034"/>
    <w:rsid w:val="00AF3494"/>
    <w:rsid w:val="00AF4878"/>
    <w:rsid w:val="00AF5566"/>
    <w:rsid w:val="00B104E0"/>
    <w:rsid w:val="00B1558D"/>
    <w:rsid w:val="00B159A7"/>
    <w:rsid w:val="00B16D3B"/>
    <w:rsid w:val="00B26708"/>
    <w:rsid w:val="00B329FE"/>
    <w:rsid w:val="00B616D9"/>
    <w:rsid w:val="00B747B7"/>
    <w:rsid w:val="00B7537D"/>
    <w:rsid w:val="00BD0B37"/>
    <w:rsid w:val="00BD4651"/>
    <w:rsid w:val="00BD7B5A"/>
    <w:rsid w:val="00BE1852"/>
    <w:rsid w:val="00BF086F"/>
    <w:rsid w:val="00C12BFE"/>
    <w:rsid w:val="00C141A7"/>
    <w:rsid w:val="00C20F56"/>
    <w:rsid w:val="00C30398"/>
    <w:rsid w:val="00C37373"/>
    <w:rsid w:val="00C41C85"/>
    <w:rsid w:val="00C42E70"/>
    <w:rsid w:val="00C43174"/>
    <w:rsid w:val="00C50492"/>
    <w:rsid w:val="00C7240A"/>
    <w:rsid w:val="00C75681"/>
    <w:rsid w:val="00C75DD2"/>
    <w:rsid w:val="00C84E1B"/>
    <w:rsid w:val="00C94648"/>
    <w:rsid w:val="00CA560F"/>
    <w:rsid w:val="00CB05BC"/>
    <w:rsid w:val="00CB0F5C"/>
    <w:rsid w:val="00CB397B"/>
    <w:rsid w:val="00CC3A53"/>
    <w:rsid w:val="00CC7E92"/>
    <w:rsid w:val="00CD0697"/>
    <w:rsid w:val="00CD46D6"/>
    <w:rsid w:val="00CD789A"/>
    <w:rsid w:val="00CD7B18"/>
    <w:rsid w:val="00CE4C62"/>
    <w:rsid w:val="00D0001B"/>
    <w:rsid w:val="00D17291"/>
    <w:rsid w:val="00D2003D"/>
    <w:rsid w:val="00D23005"/>
    <w:rsid w:val="00D26870"/>
    <w:rsid w:val="00D32580"/>
    <w:rsid w:val="00D3470A"/>
    <w:rsid w:val="00D41312"/>
    <w:rsid w:val="00D41C7B"/>
    <w:rsid w:val="00D4478F"/>
    <w:rsid w:val="00D5102B"/>
    <w:rsid w:val="00D5179D"/>
    <w:rsid w:val="00D65CE2"/>
    <w:rsid w:val="00D7380B"/>
    <w:rsid w:val="00D754B7"/>
    <w:rsid w:val="00D77C72"/>
    <w:rsid w:val="00D84164"/>
    <w:rsid w:val="00D8546B"/>
    <w:rsid w:val="00D91678"/>
    <w:rsid w:val="00DA055F"/>
    <w:rsid w:val="00DC4534"/>
    <w:rsid w:val="00DC732E"/>
    <w:rsid w:val="00DD00CF"/>
    <w:rsid w:val="00DD2265"/>
    <w:rsid w:val="00DD451A"/>
    <w:rsid w:val="00DE6660"/>
    <w:rsid w:val="00DE6A7F"/>
    <w:rsid w:val="00DF03CD"/>
    <w:rsid w:val="00DF6452"/>
    <w:rsid w:val="00DF7A12"/>
    <w:rsid w:val="00E0121E"/>
    <w:rsid w:val="00E116B6"/>
    <w:rsid w:val="00E22E6E"/>
    <w:rsid w:val="00E52082"/>
    <w:rsid w:val="00E565EA"/>
    <w:rsid w:val="00E76D0D"/>
    <w:rsid w:val="00E80803"/>
    <w:rsid w:val="00E80D4E"/>
    <w:rsid w:val="00E8465C"/>
    <w:rsid w:val="00E91435"/>
    <w:rsid w:val="00E93765"/>
    <w:rsid w:val="00EB528B"/>
    <w:rsid w:val="00ED1CD2"/>
    <w:rsid w:val="00ED3DEE"/>
    <w:rsid w:val="00ED6303"/>
    <w:rsid w:val="00EF1737"/>
    <w:rsid w:val="00F024C3"/>
    <w:rsid w:val="00F02BA7"/>
    <w:rsid w:val="00F11B9C"/>
    <w:rsid w:val="00F17DA1"/>
    <w:rsid w:val="00F17FA1"/>
    <w:rsid w:val="00F2324E"/>
    <w:rsid w:val="00F45332"/>
    <w:rsid w:val="00F5197E"/>
    <w:rsid w:val="00F60481"/>
    <w:rsid w:val="00F6053B"/>
    <w:rsid w:val="00F62328"/>
    <w:rsid w:val="00F65283"/>
    <w:rsid w:val="00F66DA2"/>
    <w:rsid w:val="00F72477"/>
    <w:rsid w:val="00F820CB"/>
    <w:rsid w:val="00FA5CD9"/>
    <w:rsid w:val="00FB2C60"/>
    <w:rsid w:val="00FB35C6"/>
    <w:rsid w:val="00FB4388"/>
    <w:rsid w:val="00FC0889"/>
    <w:rsid w:val="00FC19CA"/>
    <w:rsid w:val="00FD4720"/>
    <w:rsid w:val="00FE0E3E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1624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9317@at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3</cp:revision>
  <cp:lastPrinted>1999-05-19T19:58:00Z</cp:lastPrinted>
  <dcterms:created xsi:type="dcterms:W3CDTF">2025-09-10T18:40:00Z</dcterms:created>
  <dcterms:modified xsi:type="dcterms:W3CDTF">2025-09-10T18:41:00Z</dcterms:modified>
</cp:coreProperties>
</file>